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D05" w:rsidRPr="002737F7" w:rsidRDefault="00C12D1C" w:rsidP="00C12D1C">
      <w:pPr>
        <w:spacing w:after="0" w:line="240" w:lineRule="auto"/>
        <w:rPr>
          <w:rFonts w:ascii="Times New Roman" w:hAnsi="Times New Roman" w:cs="Times New Roman"/>
          <w:sz w:val="32"/>
          <w:szCs w:val="24"/>
          <w:u w:val="single"/>
        </w:rPr>
      </w:pPr>
      <w:bookmarkStart w:id="0" w:name="_GoBack"/>
      <w:bookmarkEnd w:id="0"/>
      <w:r w:rsidRPr="002737F7">
        <w:rPr>
          <w:rFonts w:ascii="Times New Roman" w:hAnsi="Times New Roman" w:cs="Times New Roman"/>
          <w:sz w:val="32"/>
          <w:szCs w:val="24"/>
          <w:u w:val="single"/>
        </w:rPr>
        <w:t>Summary</w:t>
      </w:r>
    </w:p>
    <w:p w:rsidR="00C12D1C" w:rsidRPr="002737F7" w:rsidRDefault="00C12D1C" w:rsidP="00C12D1C">
      <w:pPr>
        <w:spacing w:after="0" w:line="240" w:lineRule="auto"/>
        <w:rPr>
          <w:rFonts w:ascii="Times New Roman" w:hAnsi="Times New Roman" w:cs="Times New Roman"/>
          <w:sz w:val="32"/>
          <w:szCs w:val="24"/>
        </w:rPr>
      </w:pPr>
      <w:r w:rsidRPr="002737F7">
        <w:rPr>
          <w:rFonts w:ascii="Times New Roman" w:hAnsi="Times New Roman" w:cs="Times New Roman"/>
          <w:sz w:val="32"/>
          <w:szCs w:val="24"/>
        </w:rPr>
        <w:t>Assam Human Development Report 2014</w:t>
      </w:r>
    </w:p>
    <w:p w:rsidR="00C12D1C" w:rsidRDefault="00C12D1C" w:rsidP="00C12D1C">
      <w:pPr>
        <w:spacing w:after="0" w:line="240" w:lineRule="auto"/>
        <w:rPr>
          <w:rFonts w:ascii="Times New Roman" w:hAnsi="Times New Roman" w:cs="Times New Roman"/>
          <w:b/>
          <w:i/>
          <w:color w:val="1F497D" w:themeColor="text2"/>
          <w:sz w:val="24"/>
          <w:szCs w:val="24"/>
        </w:rPr>
      </w:pPr>
      <w:r w:rsidRPr="002737F7">
        <w:rPr>
          <w:rFonts w:ascii="Times New Roman" w:hAnsi="Times New Roman" w:cs="Times New Roman"/>
          <w:b/>
          <w:i/>
          <w:color w:val="1F497D" w:themeColor="text2"/>
          <w:sz w:val="24"/>
          <w:szCs w:val="24"/>
        </w:rPr>
        <w:t>Managing Diversities, Achieving Human Development</w:t>
      </w:r>
    </w:p>
    <w:p w:rsidR="002737F7" w:rsidRDefault="002737F7" w:rsidP="00C12D1C">
      <w:pPr>
        <w:spacing w:after="0" w:line="240" w:lineRule="auto"/>
        <w:rPr>
          <w:rFonts w:ascii="Times New Roman" w:hAnsi="Times New Roman" w:cs="Times New Roman"/>
          <w:b/>
          <w:i/>
          <w:color w:val="1F497D" w:themeColor="text2"/>
          <w:sz w:val="24"/>
          <w:szCs w:val="24"/>
        </w:rPr>
      </w:pPr>
    </w:p>
    <w:p w:rsidR="002737F7" w:rsidRDefault="002737F7" w:rsidP="00C12D1C">
      <w:pPr>
        <w:spacing w:after="0" w:line="240" w:lineRule="auto"/>
        <w:rPr>
          <w:rFonts w:ascii="Times New Roman" w:hAnsi="Times New Roman" w:cs="Times New Roman"/>
          <w:b/>
          <w:color w:val="1F497D" w:themeColor="text2"/>
          <w:sz w:val="24"/>
          <w:szCs w:val="24"/>
        </w:rPr>
      </w:pPr>
    </w:p>
    <w:p w:rsidR="002737F7" w:rsidRDefault="002737F7" w:rsidP="00C12D1C">
      <w:pPr>
        <w:spacing w:after="0" w:line="240" w:lineRule="auto"/>
        <w:rPr>
          <w:rFonts w:ascii="Times New Roman" w:hAnsi="Times New Roman" w:cs="Times New Roman"/>
          <w:b/>
          <w:color w:val="1F497D" w:themeColor="text2"/>
          <w:sz w:val="24"/>
          <w:szCs w:val="24"/>
        </w:rPr>
      </w:pPr>
    </w:p>
    <w:p w:rsidR="00406890" w:rsidRDefault="00406890" w:rsidP="00C12D1C">
      <w:pPr>
        <w:spacing w:after="0" w:line="240" w:lineRule="auto"/>
        <w:rPr>
          <w:rFonts w:ascii="Times New Roman" w:hAnsi="Times New Roman" w:cs="Times New Roman"/>
          <w:b/>
          <w:color w:val="1F497D" w:themeColor="text2"/>
          <w:sz w:val="24"/>
          <w:szCs w:val="24"/>
        </w:rPr>
      </w:pPr>
    </w:p>
    <w:p w:rsidR="00406890" w:rsidRDefault="00381C18" w:rsidP="00C12D1C">
      <w:pPr>
        <w:spacing w:after="0" w:line="240" w:lineRule="auto"/>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Distinguishing Features</w:t>
      </w:r>
      <w:r w:rsidR="00323E6D">
        <w:rPr>
          <w:rFonts w:ascii="Times New Roman" w:hAnsi="Times New Roman" w:cs="Times New Roman"/>
          <w:b/>
          <w:color w:val="1F497D" w:themeColor="text2"/>
          <w:sz w:val="24"/>
          <w:szCs w:val="24"/>
        </w:rPr>
        <w:t xml:space="preserve"> of the Report</w:t>
      </w:r>
    </w:p>
    <w:p w:rsidR="00F36E75" w:rsidRDefault="00F36E75" w:rsidP="00381C18">
      <w:pPr>
        <w:spacing w:after="0" w:line="240" w:lineRule="auto"/>
        <w:jc w:val="both"/>
        <w:rPr>
          <w:rFonts w:ascii="Times New Roman" w:hAnsi="Times New Roman" w:cs="Times New Roman"/>
          <w:sz w:val="24"/>
          <w:szCs w:val="24"/>
        </w:rPr>
      </w:pPr>
    </w:p>
    <w:p w:rsidR="005C6900" w:rsidRPr="00FA55DB" w:rsidRDefault="00406890" w:rsidP="00381C18">
      <w:pPr>
        <w:spacing w:after="0" w:line="240" w:lineRule="auto"/>
        <w:jc w:val="both"/>
        <w:rPr>
          <w:rFonts w:ascii="Times New Roman" w:hAnsi="Times New Roman" w:cs="Times New Roman"/>
          <w:sz w:val="24"/>
          <w:szCs w:val="24"/>
        </w:rPr>
      </w:pPr>
      <w:r w:rsidRPr="00FA55DB">
        <w:rPr>
          <w:rFonts w:ascii="Times New Roman" w:hAnsi="Times New Roman" w:cs="Times New Roman"/>
          <w:sz w:val="24"/>
          <w:szCs w:val="24"/>
        </w:rPr>
        <w:t>The Assam Human Development Report 2014</w:t>
      </w:r>
      <w:r w:rsidR="00381C18" w:rsidRPr="00FA55DB">
        <w:rPr>
          <w:rFonts w:ascii="Times New Roman" w:hAnsi="Times New Roman" w:cs="Times New Roman"/>
          <w:sz w:val="24"/>
          <w:szCs w:val="24"/>
        </w:rPr>
        <w:t xml:space="preserve"> presents a detail scenario of the overall human development in the state. The most distinguishing feature of the Report is going beyond the usual way of looking at district level aggregate scenarios of human development and bringing in the myriad diversities of the state, even within the districts, in to perspective while analysing </w:t>
      </w:r>
      <w:r w:rsidR="005C6900" w:rsidRPr="00FA55DB">
        <w:rPr>
          <w:rFonts w:ascii="Times New Roman" w:hAnsi="Times New Roman" w:cs="Times New Roman"/>
          <w:sz w:val="24"/>
          <w:szCs w:val="24"/>
        </w:rPr>
        <w:t xml:space="preserve">varying degrees of human development outcomes. </w:t>
      </w:r>
    </w:p>
    <w:p w:rsidR="005C6900" w:rsidRPr="00FA55DB" w:rsidRDefault="005C6900" w:rsidP="00381C18">
      <w:pPr>
        <w:spacing w:after="0" w:line="240" w:lineRule="auto"/>
        <w:jc w:val="both"/>
        <w:rPr>
          <w:rFonts w:ascii="Times New Roman" w:hAnsi="Times New Roman" w:cs="Times New Roman"/>
          <w:sz w:val="24"/>
          <w:szCs w:val="24"/>
        </w:rPr>
      </w:pPr>
    </w:p>
    <w:p w:rsidR="00323E6D" w:rsidRPr="00FA55DB" w:rsidRDefault="005C6900" w:rsidP="00381C18">
      <w:pPr>
        <w:spacing w:after="0" w:line="240" w:lineRule="auto"/>
        <w:jc w:val="both"/>
        <w:rPr>
          <w:rFonts w:ascii="Times New Roman" w:hAnsi="Times New Roman" w:cs="Times New Roman"/>
          <w:sz w:val="24"/>
          <w:szCs w:val="24"/>
        </w:rPr>
      </w:pPr>
      <w:r w:rsidRPr="00FA55DB">
        <w:rPr>
          <w:rFonts w:ascii="Times New Roman" w:hAnsi="Times New Roman" w:cs="Times New Roman"/>
          <w:sz w:val="24"/>
          <w:szCs w:val="24"/>
        </w:rPr>
        <w:t xml:space="preserve">The Report specifically highlights geographical, social, economic and institutional diversities of the state and their implications on aggregate human development outcomes. The report </w:t>
      </w:r>
      <w:r w:rsidR="00060DC1" w:rsidRPr="00FA55DB">
        <w:rPr>
          <w:rFonts w:ascii="Times New Roman" w:hAnsi="Times New Roman" w:cs="Times New Roman"/>
          <w:sz w:val="24"/>
          <w:szCs w:val="24"/>
        </w:rPr>
        <w:t>emphasises</w:t>
      </w:r>
      <w:r w:rsidRPr="00FA55DB">
        <w:rPr>
          <w:rFonts w:ascii="Times New Roman" w:hAnsi="Times New Roman" w:cs="Times New Roman"/>
          <w:sz w:val="24"/>
          <w:szCs w:val="24"/>
        </w:rPr>
        <w:t xml:space="preserve"> on geo-spatial diversities of the state which are not only unique but indeed enormous. The state shares large international as well as inter-state boundaries, accommodates both plains and hills, suffers from recurring floods and erosion, and has substantial riverine areas known as ‘chars’ and large tea gardens. More often than not these geo-spatial diversities overlap with one another. Besides, the state is a unique store house of </w:t>
      </w:r>
      <w:proofErr w:type="gramStart"/>
      <w:r w:rsidRPr="00FA55DB">
        <w:rPr>
          <w:rFonts w:ascii="Times New Roman" w:hAnsi="Times New Roman" w:cs="Times New Roman"/>
          <w:sz w:val="24"/>
          <w:szCs w:val="24"/>
        </w:rPr>
        <w:t>demographic</w:t>
      </w:r>
      <w:proofErr w:type="gramEnd"/>
      <w:r w:rsidRPr="00FA55DB">
        <w:rPr>
          <w:rFonts w:ascii="Times New Roman" w:hAnsi="Times New Roman" w:cs="Times New Roman"/>
          <w:sz w:val="24"/>
          <w:szCs w:val="24"/>
        </w:rPr>
        <w:t xml:space="preserve"> diversities with uniquely rich and diverse social norms and customs. There are interesting institutional diversities in the state as well – ranging from autonomous councils to development councils. These wide varieties of institutional arrangements have resulted from political processes of fulfilling various demands for autonomy and self-governance by different communities. </w:t>
      </w:r>
      <w:r w:rsidR="0087437F" w:rsidRPr="00FA55DB">
        <w:rPr>
          <w:rFonts w:ascii="Times New Roman" w:hAnsi="Times New Roman" w:cs="Times New Roman"/>
          <w:sz w:val="24"/>
          <w:szCs w:val="24"/>
        </w:rPr>
        <w:t>The Report</w:t>
      </w:r>
      <w:r w:rsidRPr="00FA55DB">
        <w:rPr>
          <w:rFonts w:ascii="Times New Roman" w:hAnsi="Times New Roman" w:cs="Times New Roman"/>
          <w:sz w:val="24"/>
          <w:szCs w:val="24"/>
        </w:rPr>
        <w:t xml:space="preserve">, therefore, </w:t>
      </w:r>
      <w:r w:rsidR="0087437F" w:rsidRPr="00FA55DB">
        <w:rPr>
          <w:rFonts w:ascii="Times New Roman" w:hAnsi="Times New Roman" w:cs="Times New Roman"/>
          <w:sz w:val="24"/>
          <w:szCs w:val="24"/>
        </w:rPr>
        <w:t>highlights that</w:t>
      </w:r>
      <w:r w:rsidR="00555C51">
        <w:rPr>
          <w:rFonts w:ascii="Times New Roman" w:hAnsi="Times New Roman" w:cs="Times New Roman"/>
          <w:sz w:val="24"/>
          <w:szCs w:val="24"/>
        </w:rPr>
        <w:t xml:space="preserve"> </w:t>
      </w:r>
      <w:r w:rsidR="00B254A2" w:rsidRPr="00FA55DB">
        <w:rPr>
          <w:rFonts w:ascii="Times New Roman" w:hAnsi="Times New Roman" w:cs="Times New Roman"/>
          <w:sz w:val="24"/>
          <w:szCs w:val="24"/>
        </w:rPr>
        <w:t xml:space="preserve">relative </w:t>
      </w:r>
      <w:r w:rsidRPr="00FA55DB">
        <w:rPr>
          <w:rFonts w:ascii="Times New Roman" w:hAnsi="Times New Roman" w:cs="Times New Roman"/>
          <w:sz w:val="24"/>
          <w:szCs w:val="24"/>
        </w:rPr>
        <w:t>advantages of people differ greatly in the state and</w:t>
      </w:r>
      <w:r w:rsidR="0087437F" w:rsidRPr="00FA55DB">
        <w:rPr>
          <w:rFonts w:ascii="Times New Roman" w:hAnsi="Times New Roman" w:cs="Times New Roman"/>
          <w:sz w:val="24"/>
          <w:szCs w:val="24"/>
        </w:rPr>
        <w:t>,</w:t>
      </w:r>
      <w:r w:rsidRPr="00FA55DB">
        <w:rPr>
          <w:rFonts w:ascii="Times New Roman" w:hAnsi="Times New Roman" w:cs="Times New Roman"/>
          <w:sz w:val="24"/>
          <w:szCs w:val="24"/>
        </w:rPr>
        <w:t xml:space="preserve"> as such</w:t>
      </w:r>
      <w:r w:rsidR="0087437F" w:rsidRPr="00FA55DB">
        <w:rPr>
          <w:rFonts w:ascii="Times New Roman" w:hAnsi="Times New Roman" w:cs="Times New Roman"/>
          <w:sz w:val="24"/>
          <w:szCs w:val="24"/>
        </w:rPr>
        <w:t>,</w:t>
      </w:r>
      <w:r w:rsidRPr="00FA55DB">
        <w:rPr>
          <w:rFonts w:ascii="Times New Roman" w:hAnsi="Times New Roman" w:cs="Times New Roman"/>
          <w:sz w:val="24"/>
          <w:szCs w:val="24"/>
        </w:rPr>
        <w:t xml:space="preserve"> differential achievements of people need to be understood in terms of </w:t>
      </w:r>
      <w:r w:rsidR="0087437F" w:rsidRPr="00FA55DB">
        <w:rPr>
          <w:rFonts w:ascii="Times New Roman" w:hAnsi="Times New Roman" w:cs="Times New Roman"/>
          <w:sz w:val="24"/>
          <w:szCs w:val="24"/>
        </w:rPr>
        <w:t xml:space="preserve">these </w:t>
      </w:r>
      <w:r w:rsidRPr="00FA55DB">
        <w:rPr>
          <w:rFonts w:ascii="Times New Roman" w:hAnsi="Times New Roman" w:cs="Times New Roman"/>
          <w:sz w:val="24"/>
          <w:szCs w:val="24"/>
        </w:rPr>
        <w:t>diversities.</w:t>
      </w:r>
      <w:r w:rsidR="002B5145">
        <w:rPr>
          <w:rFonts w:ascii="Times New Roman" w:hAnsi="Times New Roman" w:cs="Times New Roman"/>
          <w:sz w:val="24"/>
          <w:szCs w:val="24"/>
        </w:rPr>
        <w:t xml:space="preserve"> </w:t>
      </w:r>
      <w:r w:rsidR="002B5145" w:rsidRPr="00FA55DB">
        <w:rPr>
          <w:rFonts w:ascii="Times New Roman" w:hAnsi="Times New Roman" w:cs="Times New Roman"/>
          <w:sz w:val="24"/>
          <w:szCs w:val="24"/>
        </w:rPr>
        <w:t xml:space="preserve">The Report, therefore, has been titled as </w:t>
      </w:r>
      <w:r w:rsidR="002B5145" w:rsidRPr="008205DA">
        <w:rPr>
          <w:rFonts w:ascii="Times New Roman" w:hAnsi="Times New Roman" w:cs="Times New Roman"/>
          <w:i/>
          <w:sz w:val="24"/>
          <w:szCs w:val="24"/>
        </w:rPr>
        <w:t>Managing Diversities, Achieving Human Development</w:t>
      </w:r>
      <w:r w:rsidR="002B5145" w:rsidRPr="00FA55DB">
        <w:rPr>
          <w:rFonts w:ascii="Times New Roman" w:hAnsi="Times New Roman" w:cs="Times New Roman"/>
          <w:sz w:val="24"/>
          <w:szCs w:val="24"/>
        </w:rPr>
        <w:t xml:space="preserve">. </w:t>
      </w:r>
      <w:r w:rsidRPr="00FA55DB">
        <w:rPr>
          <w:rFonts w:ascii="Times New Roman" w:hAnsi="Times New Roman" w:cs="Times New Roman"/>
          <w:sz w:val="24"/>
          <w:szCs w:val="24"/>
        </w:rPr>
        <w:t xml:space="preserve"> </w:t>
      </w:r>
    </w:p>
    <w:p w:rsidR="00323E6D" w:rsidRPr="00FA55DB" w:rsidRDefault="00323E6D" w:rsidP="00381C18">
      <w:pPr>
        <w:spacing w:after="0" w:line="240" w:lineRule="auto"/>
        <w:jc w:val="both"/>
        <w:rPr>
          <w:rFonts w:ascii="Times New Roman" w:hAnsi="Times New Roman" w:cs="Times New Roman"/>
          <w:sz w:val="24"/>
          <w:szCs w:val="24"/>
        </w:rPr>
      </w:pPr>
    </w:p>
    <w:p w:rsidR="00323E6D" w:rsidRPr="00FA55DB" w:rsidRDefault="00677AD0" w:rsidP="00323E6D">
      <w:pPr>
        <w:spacing w:after="0" w:line="240" w:lineRule="auto"/>
        <w:jc w:val="both"/>
        <w:rPr>
          <w:rFonts w:ascii="Times New Roman" w:hAnsi="Times New Roman" w:cs="Times New Roman"/>
          <w:sz w:val="24"/>
          <w:szCs w:val="24"/>
        </w:rPr>
      </w:pPr>
      <w:r w:rsidRPr="00FA55DB">
        <w:rPr>
          <w:rFonts w:ascii="Times New Roman" w:hAnsi="Times New Roman" w:cs="Times New Roman"/>
          <w:sz w:val="24"/>
          <w:szCs w:val="24"/>
        </w:rPr>
        <w:t>Another</w:t>
      </w:r>
      <w:r w:rsidR="00323E6D" w:rsidRPr="00FA55DB">
        <w:rPr>
          <w:rFonts w:ascii="Times New Roman" w:hAnsi="Times New Roman" w:cs="Times New Roman"/>
          <w:sz w:val="24"/>
          <w:szCs w:val="24"/>
        </w:rPr>
        <w:t xml:space="preserve"> salient aspect of the </w:t>
      </w:r>
      <w:r w:rsidRPr="00FA55DB">
        <w:rPr>
          <w:rFonts w:ascii="Times New Roman" w:hAnsi="Times New Roman" w:cs="Times New Roman"/>
          <w:sz w:val="24"/>
          <w:szCs w:val="24"/>
        </w:rPr>
        <w:t>Report</w:t>
      </w:r>
      <w:r w:rsidR="00323E6D" w:rsidRPr="00FA55DB">
        <w:rPr>
          <w:rFonts w:ascii="Times New Roman" w:hAnsi="Times New Roman" w:cs="Times New Roman"/>
          <w:sz w:val="24"/>
          <w:szCs w:val="24"/>
        </w:rPr>
        <w:t xml:space="preserve"> is that it is based on primary data. This is, in fact, the largest survey ever conducted in the state for development evaluation. The sample size of the survey is about ten times larger than the size of sample of typical NSSO rounds and about eight times more than that of the National Family Health Survey (NFHS) in the state. As such, the report provides some estimates related to child nutrition, health and educational attainment at state and sub-state levels for the first time. Secondly,</w:t>
      </w:r>
      <w:r w:rsidR="00323E6D" w:rsidRPr="00FA55DB">
        <w:rPr>
          <w:sz w:val="24"/>
        </w:rPr>
        <w:t xml:space="preserve"> t</w:t>
      </w:r>
      <w:r w:rsidR="00323E6D" w:rsidRPr="00FA55DB">
        <w:rPr>
          <w:rFonts w:ascii="Times New Roman" w:hAnsi="Times New Roman" w:cs="Times New Roman"/>
          <w:sz w:val="24"/>
          <w:szCs w:val="24"/>
        </w:rPr>
        <w:t xml:space="preserve">his allows the report to adopt UNDP’s new (2010) method of assessing human development. This is the first time that a human development report is prepared with new UNDP method in the country. </w:t>
      </w:r>
    </w:p>
    <w:p w:rsidR="00323E6D" w:rsidRPr="00FA55DB" w:rsidRDefault="00323E6D" w:rsidP="00323E6D">
      <w:pPr>
        <w:spacing w:after="0" w:line="240" w:lineRule="auto"/>
        <w:jc w:val="both"/>
        <w:rPr>
          <w:rFonts w:ascii="Times New Roman" w:hAnsi="Times New Roman" w:cs="Times New Roman"/>
          <w:sz w:val="24"/>
          <w:szCs w:val="24"/>
        </w:rPr>
      </w:pPr>
    </w:p>
    <w:p w:rsidR="00323E6D" w:rsidRPr="00FA55DB" w:rsidRDefault="00424F29" w:rsidP="00323E6D">
      <w:pPr>
        <w:spacing w:after="0" w:line="240" w:lineRule="auto"/>
        <w:jc w:val="both"/>
        <w:rPr>
          <w:rFonts w:ascii="Times New Roman" w:hAnsi="Times New Roman" w:cs="Times New Roman"/>
          <w:sz w:val="24"/>
          <w:szCs w:val="24"/>
        </w:rPr>
      </w:pPr>
      <w:r w:rsidRPr="00FA55DB">
        <w:rPr>
          <w:rFonts w:ascii="Times New Roman" w:hAnsi="Times New Roman" w:cs="Times New Roman"/>
          <w:sz w:val="24"/>
          <w:szCs w:val="24"/>
        </w:rPr>
        <w:t>Another distinguishing</w:t>
      </w:r>
      <w:r w:rsidR="00323E6D" w:rsidRPr="00FA55DB">
        <w:rPr>
          <w:rFonts w:ascii="Times New Roman" w:hAnsi="Times New Roman" w:cs="Times New Roman"/>
          <w:sz w:val="24"/>
          <w:szCs w:val="24"/>
        </w:rPr>
        <w:t xml:space="preserve"> feature of the report comes from its analytical innovation. The report provides three supplementary indices related to employment-livelihood, vulnerability and subjective well-being. While the first two offer additional information regarding opportunities of making choices the third is concerned about the processes involved in realising the opportunities. Having an index of subjective well-being in the HDR, therefore, adds value to the analyses. This kind of juxtaposition of ‘objective’ and ‘subjective’ aspects of well-being within the capability approach is an important innovation attempted at in this report.</w:t>
      </w:r>
      <w:r w:rsidR="001D5F07" w:rsidRPr="00FA55DB">
        <w:rPr>
          <w:rFonts w:ascii="Times New Roman" w:hAnsi="Times New Roman" w:cs="Times New Roman"/>
          <w:sz w:val="24"/>
          <w:szCs w:val="24"/>
        </w:rPr>
        <w:t xml:space="preserve"> Besides, the collaborative and participative approach </w:t>
      </w:r>
      <w:r w:rsidR="00D24B88" w:rsidRPr="00FA55DB">
        <w:rPr>
          <w:rFonts w:ascii="Times New Roman" w:hAnsi="Times New Roman" w:cs="Times New Roman"/>
          <w:sz w:val="24"/>
          <w:szCs w:val="24"/>
        </w:rPr>
        <w:t xml:space="preserve">involved in the preparation of the Report itself is a hallmark. </w:t>
      </w:r>
      <w:r w:rsidR="00323E6D" w:rsidRPr="00FA55DB">
        <w:rPr>
          <w:rFonts w:ascii="Times New Roman" w:hAnsi="Times New Roman" w:cs="Times New Roman"/>
          <w:sz w:val="24"/>
          <w:szCs w:val="24"/>
        </w:rPr>
        <w:t xml:space="preserve"> </w:t>
      </w:r>
    </w:p>
    <w:p w:rsidR="0065529C" w:rsidRDefault="00CA3FAB" w:rsidP="0065529C">
      <w:pPr>
        <w:spacing w:after="0" w:line="240" w:lineRule="auto"/>
        <w:rPr>
          <w:rFonts w:ascii="Times New Roman" w:hAnsi="Times New Roman" w:cs="Times New Roman"/>
          <w:b/>
          <w:color w:val="1F497D" w:themeColor="text2"/>
          <w:sz w:val="24"/>
          <w:szCs w:val="24"/>
        </w:rPr>
      </w:pPr>
      <w:r w:rsidRPr="00CA3FAB">
        <w:rPr>
          <w:rFonts w:ascii="Times New Roman" w:hAnsi="Times New Roman" w:cs="Times New Roman"/>
          <w:b/>
          <w:color w:val="1F497D" w:themeColor="text2"/>
          <w:sz w:val="24"/>
          <w:szCs w:val="24"/>
        </w:rPr>
        <w:lastRenderedPageBreak/>
        <w:t>Key Findings</w:t>
      </w:r>
    </w:p>
    <w:p w:rsidR="00F36E75" w:rsidRDefault="00F36E75" w:rsidP="0065529C">
      <w:pPr>
        <w:spacing w:after="0" w:line="240" w:lineRule="auto"/>
        <w:jc w:val="both"/>
        <w:rPr>
          <w:rFonts w:ascii="Times New Roman" w:hAnsi="Times New Roman" w:cs="Times New Roman"/>
          <w:sz w:val="24"/>
          <w:szCs w:val="24"/>
        </w:rPr>
      </w:pPr>
    </w:p>
    <w:p w:rsidR="00CA3FAB" w:rsidRDefault="00CA3FAB" w:rsidP="00655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Report puts the Human Development Index (HDI) in Assam at 0.557 indicating that level of overall human development in the state is just about halfway of the desired level. However, </w:t>
      </w:r>
      <w:r w:rsidR="0065529C">
        <w:rPr>
          <w:rFonts w:ascii="Times New Roman" w:hAnsi="Times New Roman" w:cs="Times New Roman"/>
          <w:sz w:val="24"/>
          <w:szCs w:val="24"/>
        </w:rPr>
        <w:t>it has been observed that the overall level of human development in the state has shown a steady and continuous improvement over the last fifteen years as evident from the Figure 1 under.</w:t>
      </w:r>
    </w:p>
    <w:p w:rsidR="0065529C" w:rsidRDefault="0065529C" w:rsidP="0065529C">
      <w:pPr>
        <w:spacing w:after="0" w:line="240" w:lineRule="auto"/>
        <w:jc w:val="both"/>
        <w:rPr>
          <w:rFonts w:ascii="Times New Roman" w:hAnsi="Times New Roman" w:cs="Times New Roman"/>
          <w:sz w:val="24"/>
          <w:szCs w:val="24"/>
        </w:rPr>
      </w:pPr>
    </w:p>
    <w:p w:rsidR="0065529C" w:rsidRDefault="0065529C" w:rsidP="0065529C">
      <w:pPr>
        <w:spacing w:after="0" w:line="240" w:lineRule="auto"/>
        <w:jc w:val="both"/>
        <w:rPr>
          <w:rFonts w:ascii="Times New Roman" w:hAnsi="Times New Roman" w:cs="Times New Roman"/>
          <w:color w:val="1F497D" w:themeColor="text2"/>
          <w:sz w:val="24"/>
          <w:szCs w:val="24"/>
        </w:rPr>
      </w:pPr>
      <w:r w:rsidRPr="0065529C">
        <w:rPr>
          <w:rFonts w:ascii="Times New Roman" w:hAnsi="Times New Roman" w:cs="Times New Roman"/>
          <w:color w:val="1F497D" w:themeColor="text2"/>
          <w:sz w:val="24"/>
          <w:szCs w:val="24"/>
        </w:rPr>
        <w:t>Figure 1: Trend of Human Development Indices in Assam (2001-2015)</w:t>
      </w:r>
    </w:p>
    <w:p w:rsidR="0065529C" w:rsidRPr="0065529C" w:rsidRDefault="00370B7F" w:rsidP="0065529C">
      <w:pPr>
        <w:spacing w:after="0" w:line="240" w:lineRule="auto"/>
        <w:jc w:val="both"/>
        <w:rPr>
          <w:rFonts w:ascii="Times New Roman" w:hAnsi="Times New Roman" w:cs="Times New Roman"/>
          <w:color w:val="1F497D" w:themeColor="text2"/>
          <w:sz w:val="24"/>
          <w:szCs w:val="24"/>
        </w:rPr>
      </w:pPr>
      <w:r w:rsidRPr="00370B7F">
        <w:rPr>
          <w:rFonts w:ascii="Times New Roman" w:hAnsi="Times New Roman" w:cs="Times New Roman"/>
          <w:noProof/>
          <w:color w:val="1F497D" w:themeColor="text2"/>
          <w:sz w:val="24"/>
          <w:szCs w:val="24"/>
        </w:rPr>
        <w:drawing>
          <wp:inline distT="0" distB="0" distL="0" distR="0">
            <wp:extent cx="5610225" cy="2886075"/>
            <wp:effectExtent l="1905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70B7F" w:rsidRPr="00370B7F" w:rsidRDefault="00370B7F" w:rsidP="00370B7F">
      <w:pPr>
        <w:pStyle w:val="NormalWeb"/>
        <w:spacing w:before="0" w:beforeAutospacing="0" w:after="0" w:afterAutospacing="0"/>
        <w:textAlignment w:val="baseline"/>
        <w:rPr>
          <w:sz w:val="20"/>
          <w:szCs w:val="20"/>
        </w:rPr>
      </w:pPr>
      <w:r w:rsidRPr="00370B7F">
        <w:rPr>
          <w:i/>
          <w:iCs/>
          <w:color w:val="000000"/>
          <w:kern w:val="24"/>
          <w:sz w:val="20"/>
          <w:szCs w:val="20"/>
        </w:rPr>
        <w:t>Source: NHDR 2001, ASHDR 2003, NHDR 2011, AHSDR 2014</w:t>
      </w:r>
      <w:r w:rsidRPr="00370B7F">
        <w:rPr>
          <w:rFonts w:ascii="Arial" w:eastAsia="+mn-ea" w:hAnsi="Arial" w:cs="Arial"/>
          <w:color w:val="000000"/>
          <w:kern w:val="24"/>
          <w:sz w:val="20"/>
          <w:szCs w:val="20"/>
        </w:rPr>
        <w:t xml:space="preserve"> </w:t>
      </w:r>
    </w:p>
    <w:p w:rsidR="0065529C" w:rsidRDefault="0065529C" w:rsidP="0065529C">
      <w:pPr>
        <w:spacing w:after="0" w:line="240" w:lineRule="auto"/>
        <w:jc w:val="both"/>
        <w:rPr>
          <w:rFonts w:ascii="Times New Roman" w:hAnsi="Times New Roman" w:cs="Times New Roman"/>
          <w:b/>
          <w:color w:val="1F497D" w:themeColor="text2"/>
          <w:sz w:val="24"/>
          <w:szCs w:val="24"/>
        </w:rPr>
      </w:pPr>
    </w:p>
    <w:p w:rsidR="00370B7F" w:rsidRDefault="00880B1F" w:rsidP="00655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may, further, be observed that </w:t>
      </w:r>
      <w:r w:rsidR="00607E10">
        <w:rPr>
          <w:rFonts w:ascii="Times New Roman" w:hAnsi="Times New Roman" w:cs="Times New Roman"/>
          <w:sz w:val="24"/>
          <w:szCs w:val="24"/>
        </w:rPr>
        <w:t xml:space="preserve">achievements in all three key dimensions of human development viz. education, health and income are about halfway </w:t>
      </w:r>
      <w:r w:rsidR="00B1431D">
        <w:rPr>
          <w:rFonts w:ascii="Times New Roman" w:hAnsi="Times New Roman" w:cs="Times New Roman"/>
          <w:sz w:val="24"/>
          <w:szCs w:val="24"/>
        </w:rPr>
        <w:t>with education being at about two-third followed by health and income which are just at the half of the desired level. Besides, district-wise and various diversities wise both overall and dimensional achievements have shown wide variations.</w:t>
      </w:r>
      <w:r w:rsidR="00011C32">
        <w:rPr>
          <w:rFonts w:ascii="Times New Roman" w:hAnsi="Times New Roman" w:cs="Times New Roman"/>
          <w:sz w:val="24"/>
          <w:szCs w:val="24"/>
        </w:rPr>
        <w:t xml:space="preserve"> The district ranking based on the values of overall human development index puts </w:t>
      </w:r>
      <w:proofErr w:type="spellStart"/>
      <w:r w:rsidR="00011C32">
        <w:rPr>
          <w:rFonts w:ascii="Times New Roman" w:hAnsi="Times New Roman" w:cs="Times New Roman"/>
          <w:sz w:val="24"/>
          <w:szCs w:val="24"/>
        </w:rPr>
        <w:t>Kamrup</w:t>
      </w:r>
      <w:proofErr w:type="spellEnd"/>
      <w:r w:rsidR="00011C32">
        <w:rPr>
          <w:rFonts w:ascii="Times New Roman" w:hAnsi="Times New Roman" w:cs="Times New Roman"/>
          <w:sz w:val="24"/>
          <w:szCs w:val="24"/>
        </w:rPr>
        <w:t xml:space="preserve"> Metro</w:t>
      </w:r>
      <w:r w:rsidR="00F54863">
        <w:rPr>
          <w:rFonts w:ascii="Times New Roman" w:hAnsi="Times New Roman" w:cs="Times New Roman"/>
          <w:sz w:val="24"/>
          <w:szCs w:val="24"/>
        </w:rPr>
        <w:t xml:space="preserve"> at the top (with a value of HDI 0.703)</w:t>
      </w:r>
      <w:r w:rsidR="00011C32">
        <w:rPr>
          <w:rFonts w:ascii="Times New Roman" w:hAnsi="Times New Roman" w:cs="Times New Roman"/>
          <w:sz w:val="24"/>
          <w:szCs w:val="24"/>
        </w:rPr>
        <w:t xml:space="preserve"> followed by </w:t>
      </w:r>
      <w:proofErr w:type="spellStart"/>
      <w:r w:rsidR="00011C32">
        <w:rPr>
          <w:rFonts w:ascii="Times New Roman" w:hAnsi="Times New Roman" w:cs="Times New Roman"/>
          <w:sz w:val="24"/>
          <w:szCs w:val="24"/>
        </w:rPr>
        <w:t>Jorhat</w:t>
      </w:r>
      <w:proofErr w:type="spellEnd"/>
      <w:r w:rsidR="00F54863">
        <w:rPr>
          <w:rFonts w:ascii="Times New Roman" w:hAnsi="Times New Roman" w:cs="Times New Roman"/>
          <w:sz w:val="24"/>
          <w:szCs w:val="24"/>
        </w:rPr>
        <w:t xml:space="preserve"> (HDI 0.655)</w:t>
      </w:r>
      <w:r w:rsidR="00011C32">
        <w:rPr>
          <w:rFonts w:ascii="Times New Roman" w:hAnsi="Times New Roman" w:cs="Times New Roman"/>
          <w:sz w:val="24"/>
          <w:szCs w:val="24"/>
        </w:rPr>
        <w:t xml:space="preserve">. The lowest </w:t>
      </w:r>
      <w:r w:rsidR="0005211E">
        <w:rPr>
          <w:rFonts w:ascii="Times New Roman" w:hAnsi="Times New Roman" w:cs="Times New Roman"/>
          <w:sz w:val="24"/>
          <w:szCs w:val="24"/>
        </w:rPr>
        <w:t xml:space="preserve">value of the human development index is obtained for the district of </w:t>
      </w:r>
      <w:proofErr w:type="spellStart"/>
      <w:r w:rsidR="0005211E">
        <w:rPr>
          <w:rFonts w:ascii="Times New Roman" w:hAnsi="Times New Roman" w:cs="Times New Roman"/>
          <w:sz w:val="24"/>
          <w:szCs w:val="24"/>
        </w:rPr>
        <w:t>Hailakandi</w:t>
      </w:r>
      <w:proofErr w:type="spellEnd"/>
      <w:r w:rsidR="00F54863">
        <w:rPr>
          <w:rFonts w:ascii="Times New Roman" w:hAnsi="Times New Roman" w:cs="Times New Roman"/>
          <w:sz w:val="24"/>
          <w:szCs w:val="24"/>
        </w:rPr>
        <w:t xml:space="preserve"> (HDI 0.437)</w:t>
      </w:r>
      <w:r w:rsidR="0005211E">
        <w:rPr>
          <w:rFonts w:ascii="Times New Roman" w:hAnsi="Times New Roman" w:cs="Times New Roman"/>
          <w:sz w:val="24"/>
          <w:szCs w:val="24"/>
        </w:rPr>
        <w:t xml:space="preserve">. </w:t>
      </w:r>
    </w:p>
    <w:p w:rsidR="00B1431D" w:rsidRDefault="00B1431D" w:rsidP="0065529C">
      <w:pPr>
        <w:spacing w:after="0" w:line="240" w:lineRule="auto"/>
        <w:jc w:val="both"/>
        <w:rPr>
          <w:rFonts w:ascii="Times New Roman" w:hAnsi="Times New Roman" w:cs="Times New Roman"/>
          <w:sz w:val="24"/>
          <w:szCs w:val="24"/>
        </w:rPr>
      </w:pPr>
    </w:p>
    <w:p w:rsidR="006B3B71" w:rsidRDefault="00B1431D" w:rsidP="00655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Most importantly, drivers of the human</w:t>
      </w:r>
      <w:r w:rsidR="00011C32">
        <w:rPr>
          <w:rFonts w:ascii="Times New Roman" w:hAnsi="Times New Roman" w:cs="Times New Roman"/>
          <w:sz w:val="24"/>
          <w:szCs w:val="24"/>
        </w:rPr>
        <w:t xml:space="preserve"> development achievements found to differ greatly across the districts. While the overall level of human development achievement in some districts like </w:t>
      </w:r>
      <w:proofErr w:type="spellStart"/>
      <w:r w:rsidR="00011C32">
        <w:rPr>
          <w:rFonts w:ascii="Times New Roman" w:hAnsi="Times New Roman" w:cs="Times New Roman"/>
          <w:sz w:val="24"/>
          <w:szCs w:val="24"/>
        </w:rPr>
        <w:t>Kamrup</w:t>
      </w:r>
      <w:proofErr w:type="spellEnd"/>
      <w:r w:rsidR="00011C32">
        <w:rPr>
          <w:rFonts w:ascii="Times New Roman" w:hAnsi="Times New Roman" w:cs="Times New Roman"/>
          <w:sz w:val="24"/>
          <w:szCs w:val="24"/>
        </w:rPr>
        <w:t xml:space="preserve"> Metro primarily driven by achievements in the income dimension, in case of others these have been found to be either education (say in </w:t>
      </w:r>
      <w:proofErr w:type="spellStart"/>
      <w:r w:rsidR="00011C32">
        <w:rPr>
          <w:rFonts w:ascii="Times New Roman" w:hAnsi="Times New Roman" w:cs="Times New Roman"/>
          <w:sz w:val="24"/>
          <w:szCs w:val="24"/>
        </w:rPr>
        <w:t>Sibsagar</w:t>
      </w:r>
      <w:proofErr w:type="spellEnd"/>
      <w:r w:rsidR="00011C32">
        <w:rPr>
          <w:rFonts w:ascii="Times New Roman" w:hAnsi="Times New Roman" w:cs="Times New Roman"/>
          <w:sz w:val="24"/>
          <w:szCs w:val="24"/>
        </w:rPr>
        <w:t xml:space="preserve">) or health (say in </w:t>
      </w:r>
      <w:proofErr w:type="spellStart"/>
      <w:r w:rsidR="00011C32">
        <w:rPr>
          <w:rFonts w:ascii="Times New Roman" w:hAnsi="Times New Roman" w:cs="Times New Roman"/>
          <w:sz w:val="24"/>
          <w:szCs w:val="24"/>
        </w:rPr>
        <w:t>Kamrup</w:t>
      </w:r>
      <w:proofErr w:type="spellEnd"/>
      <w:r w:rsidR="00011C32">
        <w:rPr>
          <w:rFonts w:ascii="Times New Roman" w:hAnsi="Times New Roman" w:cs="Times New Roman"/>
          <w:sz w:val="24"/>
          <w:szCs w:val="24"/>
        </w:rPr>
        <w:t xml:space="preserve">). </w:t>
      </w:r>
      <w:r w:rsidR="006B3B71">
        <w:rPr>
          <w:rFonts w:ascii="Times New Roman" w:hAnsi="Times New Roman" w:cs="Times New Roman"/>
          <w:sz w:val="24"/>
          <w:szCs w:val="24"/>
        </w:rPr>
        <w:t>This clearly points to the policy focuses for district planning and favours a decentralised, differentiated and need based development planning in the state.</w:t>
      </w:r>
    </w:p>
    <w:p w:rsidR="006B3B71" w:rsidRDefault="006B3B71" w:rsidP="0065529C">
      <w:pPr>
        <w:spacing w:after="0" w:line="240" w:lineRule="auto"/>
        <w:jc w:val="both"/>
        <w:rPr>
          <w:rFonts w:ascii="Times New Roman" w:hAnsi="Times New Roman" w:cs="Times New Roman"/>
          <w:sz w:val="24"/>
          <w:szCs w:val="24"/>
        </w:rPr>
      </w:pPr>
    </w:p>
    <w:p w:rsidR="00F54863" w:rsidRDefault="00F54863" w:rsidP="00655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Report categorically underlines and stresses on redressing various inequalities for </w:t>
      </w:r>
      <w:r w:rsidR="001D39F2">
        <w:rPr>
          <w:rFonts w:ascii="Times New Roman" w:hAnsi="Times New Roman" w:cs="Times New Roman"/>
          <w:sz w:val="24"/>
          <w:szCs w:val="24"/>
        </w:rPr>
        <w:t>improving</w:t>
      </w:r>
      <w:r>
        <w:rPr>
          <w:rFonts w:ascii="Times New Roman" w:hAnsi="Times New Roman" w:cs="Times New Roman"/>
          <w:sz w:val="24"/>
          <w:szCs w:val="24"/>
        </w:rPr>
        <w:t xml:space="preserve"> human development outcome in the state. It is estimated that about one-third (i.e. 30 </w:t>
      </w:r>
      <w:proofErr w:type="spellStart"/>
      <w:r>
        <w:rPr>
          <w:rFonts w:ascii="Times New Roman" w:hAnsi="Times New Roman" w:cs="Times New Roman"/>
          <w:sz w:val="24"/>
          <w:szCs w:val="24"/>
        </w:rPr>
        <w:t>percent</w:t>
      </w:r>
      <w:proofErr w:type="spellEnd"/>
      <w:r>
        <w:rPr>
          <w:rFonts w:ascii="Times New Roman" w:hAnsi="Times New Roman" w:cs="Times New Roman"/>
          <w:sz w:val="24"/>
          <w:szCs w:val="24"/>
        </w:rPr>
        <w:t xml:space="preserve">) </w:t>
      </w:r>
      <w:r w:rsidR="00036067">
        <w:rPr>
          <w:rFonts w:ascii="Times New Roman" w:hAnsi="Times New Roman" w:cs="Times New Roman"/>
          <w:sz w:val="24"/>
          <w:szCs w:val="24"/>
        </w:rPr>
        <w:t xml:space="preserve">of the </w:t>
      </w:r>
      <w:r>
        <w:rPr>
          <w:rFonts w:ascii="Times New Roman" w:hAnsi="Times New Roman" w:cs="Times New Roman"/>
          <w:sz w:val="24"/>
          <w:szCs w:val="24"/>
        </w:rPr>
        <w:t>potential</w:t>
      </w:r>
      <w:r w:rsidR="00241BF0">
        <w:rPr>
          <w:rFonts w:ascii="Times New Roman" w:hAnsi="Times New Roman" w:cs="Times New Roman"/>
          <w:sz w:val="24"/>
          <w:szCs w:val="24"/>
        </w:rPr>
        <w:t xml:space="preserve"> aggregate</w:t>
      </w:r>
      <w:r>
        <w:rPr>
          <w:rFonts w:ascii="Times New Roman" w:hAnsi="Times New Roman" w:cs="Times New Roman"/>
          <w:sz w:val="24"/>
          <w:szCs w:val="24"/>
        </w:rPr>
        <w:t xml:space="preserve"> human development is lost due to the prevailing inequalities underlying in achievements in education, health and income dimension. The loss due to inequality is the highest in income dimension (about 44 </w:t>
      </w:r>
      <w:proofErr w:type="spellStart"/>
      <w:r>
        <w:rPr>
          <w:rFonts w:ascii="Times New Roman" w:hAnsi="Times New Roman" w:cs="Times New Roman"/>
          <w:sz w:val="24"/>
          <w:szCs w:val="24"/>
        </w:rPr>
        <w:t>percent</w:t>
      </w:r>
      <w:proofErr w:type="spellEnd"/>
      <w:r>
        <w:rPr>
          <w:rFonts w:ascii="Times New Roman" w:hAnsi="Times New Roman" w:cs="Times New Roman"/>
          <w:sz w:val="24"/>
          <w:szCs w:val="24"/>
        </w:rPr>
        <w:t xml:space="preserve">) followed by health (32 </w:t>
      </w:r>
      <w:proofErr w:type="spellStart"/>
      <w:r>
        <w:rPr>
          <w:rFonts w:ascii="Times New Roman" w:hAnsi="Times New Roman" w:cs="Times New Roman"/>
          <w:sz w:val="24"/>
          <w:szCs w:val="24"/>
        </w:rPr>
        <w:t>percent</w:t>
      </w:r>
      <w:proofErr w:type="spellEnd"/>
      <w:r>
        <w:rPr>
          <w:rFonts w:ascii="Times New Roman" w:hAnsi="Times New Roman" w:cs="Times New Roman"/>
          <w:sz w:val="24"/>
          <w:szCs w:val="24"/>
        </w:rPr>
        <w:t xml:space="preserve">) and then by education (9 </w:t>
      </w:r>
      <w:proofErr w:type="spellStart"/>
      <w:r>
        <w:rPr>
          <w:rFonts w:ascii="Times New Roman" w:hAnsi="Times New Roman" w:cs="Times New Roman"/>
          <w:sz w:val="24"/>
          <w:szCs w:val="24"/>
        </w:rPr>
        <w:t>percent</w:t>
      </w:r>
      <w:proofErr w:type="spellEnd"/>
      <w:r>
        <w:rPr>
          <w:rFonts w:ascii="Times New Roman" w:hAnsi="Times New Roman" w:cs="Times New Roman"/>
          <w:sz w:val="24"/>
          <w:szCs w:val="24"/>
        </w:rPr>
        <w:t>)</w:t>
      </w:r>
      <w:r w:rsidR="00D55F8E">
        <w:rPr>
          <w:rFonts w:ascii="Times New Roman" w:hAnsi="Times New Roman" w:cs="Times New Roman"/>
          <w:sz w:val="24"/>
          <w:szCs w:val="24"/>
        </w:rPr>
        <w:t>. Moreover, it could be found that</w:t>
      </w:r>
      <w:r w:rsidR="00F91F80">
        <w:rPr>
          <w:rFonts w:ascii="Times New Roman" w:hAnsi="Times New Roman" w:cs="Times New Roman"/>
          <w:sz w:val="24"/>
          <w:szCs w:val="24"/>
        </w:rPr>
        <w:t>, district wise,</w:t>
      </w:r>
      <w:r w:rsidR="00D55F8E">
        <w:rPr>
          <w:rFonts w:ascii="Times New Roman" w:hAnsi="Times New Roman" w:cs="Times New Roman"/>
          <w:sz w:val="24"/>
          <w:szCs w:val="24"/>
        </w:rPr>
        <w:t xml:space="preserve"> dimensional inequalities vary distinctly.</w:t>
      </w:r>
    </w:p>
    <w:p w:rsidR="00FA55DB" w:rsidRDefault="00392E55" w:rsidP="00655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The Report also highlights the significance of removing gender inequalities in improving the overall human development achievements in the state.</w:t>
      </w:r>
      <w:r w:rsidR="00D55F8E">
        <w:rPr>
          <w:rFonts w:ascii="Times New Roman" w:hAnsi="Times New Roman" w:cs="Times New Roman"/>
          <w:sz w:val="24"/>
          <w:szCs w:val="24"/>
        </w:rPr>
        <w:t xml:space="preserve"> The Report estimates that overall human development of the women, in general, is less than that of the men by some 14 </w:t>
      </w:r>
      <w:proofErr w:type="spellStart"/>
      <w:r w:rsidR="00D55F8E">
        <w:rPr>
          <w:rFonts w:ascii="Times New Roman" w:hAnsi="Times New Roman" w:cs="Times New Roman"/>
          <w:sz w:val="24"/>
          <w:szCs w:val="24"/>
        </w:rPr>
        <w:t>percent</w:t>
      </w:r>
      <w:proofErr w:type="spellEnd"/>
      <w:r w:rsidR="00D55F8E">
        <w:rPr>
          <w:rFonts w:ascii="Times New Roman" w:hAnsi="Times New Roman" w:cs="Times New Roman"/>
          <w:sz w:val="24"/>
          <w:szCs w:val="24"/>
        </w:rPr>
        <w:t xml:space="preserve">. Besides, </w:t>
      </w:r>
      <w:r w:rsidR="00FA55DB">
        <w:rPr>
          <w:rFonts w:ascii="Times New Roman" w:hAnsi="Times New Roman" w:cs="Times New Roman"/>
          <w:sz w:val="24"/>
          <w:szCs w:val="24"/>
        </w:rPr>
        <w:t xml:space="preserve">the Report reveals that </w:t>
      </w:r>
      <w:r w:rsidR="00D55F8E">
        <w:rPr>
          <w:rFonts w:ascii="Times New Roman" w:hAnsi="Times New Roman" w:cs="Times New Roman"/>
          <w:sz w:val="24"/>
          <w:szCs w:val="24"/>
        </w:rPr>
        <w:t xml:space="preserve">the observed gender inequality in the key dimensions of human development, viz. education, health and income </w:t>
      </w:r>
      <w:r w:rsidR="00FA55DB">
        <w:rPr>
          <w:rFonts w:ascii="Times New Roman" w:hAnsi="Times New Roman" w:cs="Times New Roman"/>
          <w:sz w:val="24"/>
          <w:szCs w:val="24"/>
        </w:rPr>
        <w:t xml:space="preserve">results in the loss of about 37 </w:t>
      </w:r>
      <w:proofErr w:type="spellStart"/>
      <w:r w:rsidR="00FA55DB">
        <w:rPr>
          <w:rFonts w:ascii="Times New Roman" w:hAnsi="Times New Roman" w:cs="Times New Roman"/>
          <w:sz w:val="24"/>
          <w:szCs w:val="24"/>
        </w:rPr>
        <w:t>percent</w:t>
      </w:r>
      <w:proofErr w:type="spellEnd"/>
      <w:r w:rsidR="00FA55DB">
        <w:rPr>
          <w:rFonts w:ascii="Times New Roman" w:hAnsi="Times New Roman" w:cs="Times New Roman"/>
          <w:sz w:val="24"/>
          <w:szCs w:val="24"/>
        </w:rPr>
        <w:t xml:space="preserve"> of potential human development achievement in the state in general.</w:t>
      </w:r>
    </w:p>
    <w:p w:rsidR="00FA55DB" w:rsidRDefault="00FA55DB" w:rsidP="0065529C">
      <w:pPr>
        <w:spacing w:after="0" w:line="240" w:lineRule="auto"/>
        <w:jc w:val="both"/>
        <w:rPr>
          <w:rFonts w:ascii="Times New Roman" w:hAnsi="Times New Roman" w:cs="Times New Roman"/>
          <w:sz w:val="24"/>
          <w:szCs w:val="24"/>
        </w:rPr>
      </w:pPr>
    </w:p>
    <w:p w:rsidR="00FA55DB" w:rsidRDefault="00FA55DB" w:rsidP="00655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Report discloses that about one-third of the population in the state are ‘</w:t>
      </w:r>
      <w:proofErr w:type="spellStart"/>
      <w:r>
        <w:rPr>
          <w:rFonts w:ascii="Times New Roman" w:hAnsi="Times New Roman" w:cs="Times New Roman"/>
          <w:sz w:val="24"/>
          <w:szCs w:val="24"/>
        </w:rPr>
        <w:t>multidimensionally</w:t>
      </w:r>
      <w:proofErr w:type="spellEnd"/>
      <w:r>
        <w:rPr>
          <w:rFonts w:ascii="Times New Roman" w:hAnsi="Times New Roman" w:cs="Times New Roman"/>
          <w:sz w:val="24"/>
          <w:szCs w:val="24"/>
        </w:rPr>
        <w:t xml:space="preserve"> poor’ i.e. poor in more than one dimension of human development. The Report, therefore, emphasises on addressing poverty beyond income poverty within a much wider framework and approach. </w:t>
      </w:r>
    </w:p>
    <w:p w:rsidR="00F36E75" w:rsidRDefault="00F36E75" w:rsidP="0065529C">
      <w:pPr>
        <w:spacing w:after="0" w:line="240" w:lineRule="auto"/>
        <w:jc w:val="both"/>
        <w:rPr>
          <w:rFonts w:ascii="Times New Roman" w:hAnsi="Times New Roman" w:cs="Times New Roman"/>
          <w:sz w:val="24"/>
          <w:szCs w:val="24"/>
        </w:rPr>
      </w:pPr>
    </w:p>
    <w:p w:rsidR="001E5AD0" w:rsidRDefault="00F36E75" w:rsidP="00655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Report brings out an index of subjective-wellbeing of the people which represents how people value the various critical processes of human development. It is found that 56.4 </w:t>
      </w:r>
      <w:proofErr w:type="spellStart"/>
      <w:r>
        <w:rPr>
          <w:rFonts w:ascii="Times New Roman" w:hAnsi="Times New Roman" w:cs="Times New Roman"/>
          <w:sz w:val="24"/>
          <w:szCs w:val="24"/>
        </w:rPr>
        <w:t>percent</w:t>
      </w:r>
      <w:proofErr w:type="spellEnd"/>
      <w:r>
        <w:rPr>
          <w:rFonts w:ascii="Times New Roman" w:hAnsi="Times New Roman" w:cs="Times New Roman"/>
          <w:sz w:val="24"/>
          <w:szCs w:val="24"/>
        </w:rPr>
        <w:t xml:space="preserve"> of people are ‘satisfied’ – either moderately or intensely – with the most critical processes of well-being. </w:t>
      </w:r>
      <w:r w:rsidR="00633937">
        <w:rPr>
          <w:rFonts w:ascii="Times New Roman" w:hAnsi="Times New Roman" w:cs="Times New Roman"/>
          <w:sz w:val="24"/>
          <w:szCs w:val="24"/>
        </w:rPr>
        <w:t xml:space="preserve">However, great deal of variations exists in the proportions of ‘satisfied’ people across districts. The highest percentage of people ‘satisfied’ is obtained in </w:t>
      </w:r>
      <w:proofErr w:type="spellStart"/>
      <w:r w:rsidR="00633937">
        <w:rPr>
          <w:rFonts w:ascii="Times New Roman" w:hAnsi="Times New Roman" w:cs="Times New Roman"/>
          <w:sz w:val="24"/>
          <w:szCs w:val="24"/>
        </w:rPr>
        <w:t>Jorhat</w:t>
      </w:r>
      <w:proofErr w:type="spellEnd"/>
      <w:r w:rsidR="00633937">
        <w:rPr>
          <w:rFonts w:ascii="Times New Roman" w:hAnsi="Times New Roman" w:cs="Times New Roman"/>
          <w:sz w:val="24"/>
          <w:szCs w:val="24"/>
        </w:rPr>
        <w:t xml:space="preserve"> (82.4 </w:t>
      </w:r>
      <w:proofErr w:type="spellStart"/>
      <w:r w:rsidR="00633937">
        <w:rPr>
          <w:rFonts w:ascii="Times New Roman" w:hAnsi="Times New Roman" w:cs="Times New Roman"/>
          <w:sz w:val="24"/>
          <w:szCs w:val="24"/>
        </w:rPr>
        <w:t>percent</w:t>
      </w:r>
      <w:proofErr w:type="spellEnd"/>
      <w:r w:rsidR="00633937">
        <w:rPr>
          <w:rFonts w:ascii="Times New Roman" w:hAnsi="Times New Roman" w:cs="Times New Roman"/>
          <w:sz w:val="24"/>
          <w:szCs w:val="24"/>
        </w:rPr>
        <w:t xml:space="preserve">) while the lowest is found in </w:t>
      </w:r>
      <w:proofErr w:type="spellStart"/>
      <w:r w:rsidR="00633937">
        <w:rPr>
          <w:rFonts w:ascii="Times New Roman" w:hAnsi="Times New Roman" w:cs="Times New Roman"/>
          <w:sz w:val="24"/>
          <w:szCs w:val="24"/>
        </w:rPr>
        <w:t>Marigaon</w:t>
      </w:r>
      <w:proofErr w:type="spellEnd"/>
      <w:r w:rsidR="00633937">
        <w:rPr>
          <w:rFonts w:ascii="Times New Roman" w:hAnsi="Times New Roman" w:cs="Times New Roman"/>
          <w:sz w:val="24"/>
          <w:szCs w:val="24"/>
        </w:rPr>
        <w:t xml:space="preserve"> (18.1 </w:t>
      </w:r>
      <w:proofErr w:type="spellStart"/>
      <w:r w:rsidR="00633937">
        <w:rPr>
          <w:rFonts w:ascii="Times New Roman" w:hAnsi="Times New Roman" w:cs="Times New Roman"/>
          <w:sz w:val="24"/>
          <w:szCs w:val="24"/>
        </w:rPr>
        <w:t>percent</w:t>
      </w:r>
      <w:proofErr w:type="spellEnd"/>
      <w:r w:rsidR="00633937">
        <w:rPr>
          <w:rFonts w:ascii="Times New Roman" w:hAnsi="Times New Roman" w:cs="Times New Roman"/>
          <w:sz w:val="24"/>
          <w:szCs w:val="24"/>
        </w:rPr>
        <w:t xml:space="preserve">). The main drivers of ‘satisfaction’ have been aspects related to ecology and environment, cultural and psychological domains whereas the three main drivers of ‘dissatisfaction’ have been governance, education and health domains. </w:t>
      </w:r>
    </w:p>
    <w:p w:rsidR="001E5AD0" w:rsidRDefault="001E5AD0" w:rsidP="0065529C">
      <w:pPr>
        <w:spacing w:after="0" w:line="240" w:lineRule="auto"/>
        <w:jc w:val="both"/>
        <w:rPr>
          <w:rFonts w:ascii="Times New Roman" w:hAnsi="Times New Roman" w:cs="Times New Roman"/>
          <w:sz w:val="24"/>
          <w:szCs w:val="24"/>
        </w:rPr>
      </w:pPr>
    </w:p>
    <w:p w:rsidR="00F36E75" w:rsidRDefault="001E5AD0" w:rsidP="001E5AD0">
      <w:pPr>
        <w:spacing w:after="0" w:line="240" w:lineRule="auto"/>
        <w:rPr>
          <w:rFonts w:ascii="Times New Roman" w:hAnsi="Times New Roman" w:cs="Times New Roman"/>
          <w:sz w:val="24"/>
          <w:szCs w:val="24"/>
        </w:rPr>
      </w:pPr>
      <w:r w:rsidRPr="001E5AD0">
        <w:rPr>
          <w:rFonts w:ascii="Times New Roman" w:hAnsi="Times New Roman" w:cs="Times New Roman"/>
          <w:b/>
          <w:color w:val="1F497D" w:themeColor="text2"/>
          <w:sz w:val="24"/>
          <w:szCs w:val="24"/>
        </w:rPr>
        <w:t>Major Issues and Concerns</w:t>
      </w:r>
      <w:r w:rsidR="00F36E75">
        <w:rPr>
          <w:rFonts w:ascii="Times New Roman" w:hAnsi="Times New Roman" w:cs="Times New Roman"/>
          <w:sz w:val="24"/>
          <w:szCs w:val="24"/>
        </w:rPr>
        <w:t xml:space="preserve">  </w:t>
      </w:r>
    </w:p>
    <w:p w:rsidR="00FA55DB" w:rsidRDefault="00FA55DB" w:rsidP="0065529C">
      <w:pPr>
        <w:spacing w:after="0" w:line="240" w:lineRule="auto"/>
        <w:jc w:val="both"/>
        <w:rPr>
          <w:rFonts w:ascii="Times New Roman" w:hAnsi="Times New Roman" w:cs="Times New Roman"/>
          <w:sz w:val="24"/>
          <w:szCs w:val="24"/>
        </w:rPr>
      </w:pPr>
    </w:p>
    <w:p w:rsidR="00065AD0" w:rsidRDefault="002D0377" w:rsidP="00655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Report highlights some </w:t>
      </w:r>
      <w:r w:rsidR="00A85D34">
        <w:rPr>
          <w:rFonts w:ascii="Times New Roman" w:hAnsi="Times New Roman" w:cs="Times New Roman"/>
          <w:sz w:val="24"/>
          <w:szCs w:val="24"/>
        </w:rPr>
        <w:t xml:space="preserve">of the </w:t>
      </w:r>
      <w:r>
        <w:rPr>
          <w:rFonts w:ascii="Times New Roman" w:hAnsi="Times New Roman" w:cs="Times New Roman"/>
          <w:sz w:val="24"/>
          <w:szCs w:val="24"/>
        </w:rPr>
        <w:t xml:space="preserve">major </w:t>
      </w:r>
      <w:r w:rsidR="00A85D34">
        <w:rPr>
          <w:rFonts w:ascii="Times New Roman" w:hAnsi="Times New Roman" w:cs="Times New Roman"/>
          <w:sz w:val="24"/>
          <w:szCs w:val="24"/>
        </w:rPr>
        <w:t xml:space="preserve">issues and concerns in achieving overall human development in the state. </w:t>
      </w:r>
      <w:r w:rsidR="00065AD0">
        <w:rPr>
          <w:rFonts w:ascii="Times New Roman" w:hAnsi="Times New Roman" w:cs="Times New Roman"/>
          <w:sz w:val="24"/>
          <w:szCs w:val="24"/>
        </w:rPr>
        <w:t xml:space="preserve">The Report first underlines the concerns related to the unemployment scenario in the state. The total unemployment rate (percentage of people within the age of 15-59 years finding no employment) in the state is estimated at 13.4 </w:t>
      </w:r>
      <w:proofErr w:type="spellStart"/>
      <w:r w:rsidR="00065AD0">
        <w:rPr>
          <w:rFonts w:ascii="Times New Roman" w:hAnsi="Times New Roman" w:cs="Times New Roman"/>
          <w:sz w:val="24"/>
          <w:szCs w:val="24"/>
        </w:rPr>
        <w:t>percent</w:t>
      </w:r>
      <w:proofErr w:type="spellEnd"/>
      <w:r w:rsidR="00065AD0">
        <w:rPr>
          <w:rFonts w:ascii="Times New Roman" w:hAnsi="Times New Roman" w:cs="Times New Roman"/>
          <w:sz w:val="24"/>
          <w:szCs w:val="24"/>
        </w:rPr>
        <w:t xml:space="preserve">. The female unemployment rate is found to be 33.9 </w:t>
      </w:r>
      <w:proofErr w:type="spellStart"/>
      <w:r w:rsidR="00065AD0">
        <w:rPr>
          <w:rFonts w:ascii="Times New Roman" w:hAnsi="Times New Roman" w:cs="Times New Roman"/>
          <w:sz w:val="24"/>
          <w:szCs w:val="24"/>
        </w:rPr>
        <w:t>percent</w:t>
      </w:r>
      <w:proofErr w:type="spellEnd"/>
      <w:r w:rsidR="00065AD0">
        <w:rPr>
          <w:rFonts w:ascii="Times New Roman" w:hAnsi="Times New Roman" w:cs="Times New Roman"/>
          <w:sz w:val="24"/>
          <w:szCs w:val="24"/>
        </w:rPr>
        <w:t xml:space="preserve"> compared to 8.0 </w:t>
      </w:r>
      <w:proofErr w:type="spellStart"/>
      <w:r w:rsidR="00065AD0">
        <w:rPr>
          <w:rFonts w:ascii="Times New Roman" w:hAnsi="Times New Roman" w:cs="Times New Roman"/>
          <w:sz w:val="24"/>
          <w:szCs w:val="24"/>
        </w:rPr>
        <w:t>percent</w:t>
      </w:r>
      <w:proofErr w:type="spellEnd"/>
      <w:r w:rsidR="00065AD0">
        <w:rPr>
          <w:rFonts w:ascii="Times New Roman" w:hAnsi="Times New Roman" w:cs="Times New Roman"/>
          <w:sz w:val="24"/>
          <w:szCs w:val="24"/>
        </w:rPr>
        <w:t xml:space="preserve"> in case of male. The youth unemployment rate (15-24 </w:t>
      </w:r>
      <w:proofErr w:type="spellStart"/>
      <w:r w:rsidR="00065AD0">
        <w:rPr>
          <w:rFonts w:ascii="Times New Roman" w:hAnsi="Times New Roman" w:cs="Times New Roman"/>
          <w:sz w:val="24"/>
          <w:szCs w:val="24"/>
        </w:rPr>
        <w:t>percent</w:t>
      </w:r>
      <w:proofErr w:type="spellEnd"/>
      <w:r w:rsidR="00065AD0">
        <w:rPr>
          <w:rFonts w:ascii="Times New Roman" w:hAnsi="Times New Roman" w:cs="Times New Roman"/>
          <w:sz w:val="24"/>
          <w:szCs w:val="24"/>
        </w:rPr>
        <w:t xml:space="preserve">) is again found to be as high as 37.7 </w:t>
      </w:r>
      <w:proofErr w:type="spellStart"/>
      <w:r w:rsidR="00065AD0">
        <w:rPr>
          <w:rFonts w:ascii="Times New Roman" w:hAnsi="Times New Roman" w:cs="Times New Roman"/>
          <w:sz w:val="24"/>
          <w:szCs w:val="24"/>
        </w:rPr>
        <w:t>percent</w:t>
      </w:r>
      <w:proofErr w:type="spellEnd"/>
      <w:r w:rsidR="00065AD0">
        <w:rPr>
          <w:rFonts w:ascii="Times New Roman" w:hAnsi="Times New Roman" w:cs="Times New Roman"/>
          <w:sz w:val="24"/>
          <w:szCs w:val="24"/>
        </w:rPr>
        <w:t xml:space="preserve">. Geographical diversity wise unemployment is found to be the highest in the tea gardens (15.3 </w:t>
      </w:r>
      <w:proofErr w:type="spellStart"/>
      <w:r w:rsidR="00065AD0">
        <w:rPr>
          <w:rFonts w:ascii="Times New Roman" w:hAnsi="Times New Roman" w:cs="Times New Roman"/>
          <w:sz w:val="24"/>
          <w:szCs w:val="24"/>
        </w:rPr>
        <w:t>percent</w:t>
      </w:r>
      <w:proofErr w:type="spellEnd"/>
      <w:r w:rsidR="00065AD0">
        <w:rPr>
          <w:rFonts w:ascii="Times New Roman" w:hAnsi="Times New Roman" w:cs="Times New Roman"/>
          <w:sz w:val="24"/>
          <w:szCs w:val="24"/>
        </w:rPr>
        <w:t xml:space="preserve">) and flood affected areas (15.2 </w:t>
      </w:r>
      <w:proofErr w:type="spellStart"/>
      <w:r w:rsidR="00065AD0">
        <w:rPr>
          <w:rFonts w:ascii="Times New Roman" w:hAnsi="Times New Roman" w:cs="Times New Roman"/>
          <w:sz w:val="24"/>
          <w:szCs w:val="24"/>
        </w:rPr>
        <w:t>percent</w:t>
      </w:r>
      <w:proofErr w:type="spellEnd"/>
      <w:r w:rsidR="00065AD0">
        <w:rPr>
          <w:rFonts w:ascii="Times New Roman" w:hAnsi="Times New Roman" w:cs="Times New Roman"/>
          <w:sz w:val="24"/>
          <w:szCs w:val="24"/>
        </w:rPr>
        <w:t xml:space="preserve">). </w:t>
      </w:r>
    </w:p>
    <w:p w:rsidR="00065AD0" w:rsidRDefault="00065AD0" w:rsidP="0065529C">
      <w:pPr>
        <w:spacing w:after="0" w:line="240" w:lineRule="auto"/>
        <w:jc w:val="both"/>
        <w:rPr>
          <w:rFonts w:ascii="Times New Roman" w:hAnsi="Times New Roman" w:cs="Times New Roman"/>
          <w:sz w:val="24"/>
          <w:szCs w:val="24"/>
        </w:rPr>
      </w:pPr>
    </w:p>
    <w:p w:rsidR="000D795D" w:rsidRDefault="000D795D" w:rsidP="00655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report brings in the issues and concerns regarding myriad forms of inequalities. The Report finds that inequalities in human development outcomes are emanating from inequalities in access to productive resources and basic amenities. The extent of inequality in land holding, for example, is evident from the fact the top 20 </w:t>
      </w:r>
      <w:proofErr w:type="spellStart"/>
      <w:r>
        <w:rPr>
          <w:rFonts w:ascii="Times New Roman" w:hAnsi="Times New Roman" w:cs="Times New Roman"/>
          <w:sz w:val="24"/>
          <w:szCs w:val="24"/>
        </w:rPr>
        <w:t>percent</w:t>
      </w:r>
      <w:proofErr w:type="spellEnd"/>
      <w:r>
        <w:rPr>
          <w:rFonts w:ascii="Times New Roman" w:hAnsi="Times New Roman" w:cs="Times New Roman"/>
          <w:sz w:val="24"/>
          <w:szCs w:val="24"/>
        </w:rPr>
        <w:t xml:space="preserve"> of the people is holding about 70 </w:t>
      </w:r>
      <w:proofErr w:type="spellStart"/>
      <w:r>
        <w:rPr>
          <w:rFonts w:ascii="Times New Roman" w:hAnsi="Times New Roman" w:cs="Times New Roman"/>
          <w:sz w:val="24"/>
          <w:szCs w:val="24"/>
        </w:rPr>
        <w:t>percent</w:t>
      </w:r>
      <w:proofErr w:type="spellEnd"/>
      <w:r>
        <w:rPr>
          <w:rFonts w:ascii="Times New Roman" w:hAnsi="Times New Roman" w:cs="Times New Roman"/>
          <w:sz w:val="24"/>
          <w:szCs w:val="24"/>
        </w:rPr>
        <w:t xml:space="preserve"> of the total</w:t>
      </w:r>
      <w:r w:rsidR="00E645EB">
        <w:rPr>
          <w:rFonts w:ascii="Times New Roman" w:hAnsi="Times New Roman" w:cs="Times New Roman"/>
          <w:sz w:val="24"/>
          <w:szCs w:val="24"/>
        </w:rPr>
        <w:t xml:space="preserve"> cultivable</w:t>
      </w:r>
      <w:r>
        <w:rPr>
          <w:rFonts w:ascii="Times New Roman" w:hAnsi="Times New Roman" w:cs="Times New Roman"/>
          <w:sz w:val="24"/>
          <w:szCs w:val="24"/>
        </w:rPr>
        <w:t xml:space="preserve"> land while rest 80 </w:t>
      </w:r>
      <w:proofErr w:type="spellStart"/>
      <w:r>
        <w:rPr>
          <w:rFonts w:ascii="Times New Roman" w:hAnsi="Times New Roman" w:cs="Times New Roman"/>
          <w:sz w:val="24"/>
          <w:szCs w:val="24"/>
        </w:rPr>
        <w:t>percent</w:t>
      </w:r>
      <w:proofErr w:type="spellEnd"/>
      <w:r>
        <w:rPr>
          <w:rFonts w:ascii="Times New Roman" w:hAnsi="Times New Roman" w:cs="Times New Roman"/>
          <w:sz w:val="24"/>
          <w:szCs w:val="24"/>
        </w:rPr>
        <w:t xml:space="preserve"> are sharing 30 </w:t>
      </w:r>
      <w:proofErr w:type="spellStart"/>
      <w:r>
        <w:rPr>
          <w:rFonts w:ascii="Times New Roman" w:hAnsi="Times New Roman" w:cs="Times New Roman"/>
          <w:sz w:val="24"/>
          <w:szCs w:val="24"/>
        </w:rPr>
        <w:t>percent</w:t>
      </w:r>
      <w:proofErr w:type="spellEnd"/>
      <w:r>
        <w:rPr>
          <w:rFonts w:ascii="Times New Roman" w:hAnsi="Times New Roman" w:cs="Times New Roman"/>
          <w:sz w:val="24"/>
          <w:szCs w:val="24"/>
        </w:rPr>
        <w:t xml:space="preserve"> of the remaining land. Consequently, top 20 </w:t>
      </w:r>
      <w:proofErr w:type="spellStart"/>
      <w:r>
        <w:rPr>
          <w:rFonts w:ascii="Times New Roman" w:hAnsi="Times New Roman" w:cs="Times New Roman"/>
          <w:sz w:val="24"/>
          <w:szCs w:val="24"/>
        </w:rPr>
        <w:t>percent</w:t>
      </w:r>
      <w:proofErr w:type="spellEnd"/>
      <w:r>
        <w:rPr>
          <w:rFonts w:ascii="Times New Roman" w:hAnsi="Times New Roman" w:cs="Times New Roman"/>
          <w:sz w:val="24"/>
          <w:szCs w:val="24"/>
        </w:rPr>
        <w:t xml:space="preserve"> shares 45 </w:t>
      </w:r>
      <w:proofErr w:type="spellStart"/>
      <w:r>
        <w:rPr>
          <w:rFonts w:ascii="Times New Roman" w:hAnsi="Times New Roman" w:cs="Times New Roman"/>
          <w:sz w:val="24"/>
          <w:szCs w:val="24"/>
        </w:rPr>
        <w:t>percent</w:t>
      </w:r>
      <w:proofErr w:type="spellEnd"/>
      <w:r>
        <w:rPr>
          <w:rFonts w:ascii="Times New Roman" w:hAnsi="Times New Roman" w:cs="Times New Roman"/>
          <w:sz w:val="24"/>
          <w:szCs w:val="24"/>
        </w:rPr>
        <w:t xml:space="preserve"> of the total consumption while bottom 20 </w:t>
      </w:r>
      <w:proofErr w:type="spellStart"/>
      <w:r>
        <w:rPr>
          <w:rFonts w:ascii="Times New Roman" w:hAnsi="Times New Roman" w:cs="Times New Roman"/>
          <w:sz w:val="24"/>
          <w:szCs w:val="24"/>
        </w:rPr>
        <w:t>percent</w:t>
      </w:r>
      <w:proofErr w:type="spellEnd"/>
      <w:r>
        <w:rPr>
          <w:rFonts w:ascii="Times New Roman" w:hAnsi="Times New Roman" w:cs="Times New Roman"/>
          <w:sz w:val="24"/>
          <w:szCs w:val="24"/>
        </w:rPr>
        <w:t xml:space="preserve"> shares only 8 </w:t>
      </w:r>
      <w:proofErr w:type="spellStart"/>
      <w:r>
        <w:rPr>
          <w:rFonts w:ascii="Times New Roman" w:hAnsi="Times New Roman" w:cs="Times New Roman"/>
          <w:sz w:val="24"/>
          <w:szCs w:val="24"/>
        </w:rPr>
        <w:t>percent</w:t>
      </w:r>
      <w:proofErr w:type="spellEnd"/>
      <w:r>
        <w:rPr>
          <w:rFonts w:ascii="Times New Roman" w:hAnsi="Times New Roman" w:cs="Times New Roman"/>
          <w:sz w:val="24"/>
          <w:szCs w:val="24"/>
        </w:rPr>
        <w:t xml:space="preserve"> of the total consumption expenditure. The Report, thus, highlights that redressing the fundamental inequalities in access to resources is essential for improving the human development achievements. </w:t>
      </w:r>
    </w:p>
    <w:p w:rsidR="000D795D" w:rsidRDefault="000D795D" w:rsidP="0065529C">
      <w:pPr>
        <w:spacing w:after="0" w:line="240" w:lineRule="auto"/>
        <w:jc w:val="both"/>
        <w:rPr>
          <w:rFonts w:ascii="Times New Roman" w:hAnsi="Times New Roman" w:cs="Times New Roman"/>
          <w:sz w:val="24"/>
          <w:szCs w:val="24"/>
        </w:rPr>
      </w:pPr>
    </w:p>
    <w:p w:rsidR="000A0C3D" w:rsidRDefault="000A0C3D" w:rsidP="00655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Report emphasises on the multidimensional nature of poverty and deprivations. It, therefore, advocates for ending all types and forms of deprivations in order to improve human development outcomes. </w:t>
      </w:r>
    </w:p>
    <w:p w:rsidR="000A0C3D" w:rsidRDefault="000A0C3D" w:rsidP="0065529C">
      <w:pPr>
        <w:spacing w:after="0" w:line="240" w:lineRule="auto"/>
        <w:jc w:val="both"/>
        <w:rPr>
          <w:rFonts w:ascii="Times New Roman" w:hAnsi="Times New Roman" w:cs="Times New Roman"/>
          <w:sz w:val="24"/>
          <w:szCs w:val="24"/>
        </w:rPr>
      </w:pPr>
    </w:p>
    <w:p w:rsidR="00FA55DB" w:rsidRDefault="000A0C3D" w:rsidP="00655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this context, the Report underscores </w:t>
      </w:r>
      <w:r w:rsidR="00BB41D2">
        <w:rPr>
          <w:rFonts w:ascii="Times New Roman" w:hAnsi="Times New Roman" w:cs="Times New Roman"/>
          <w:sz w:val="24"/>
          <w:szCs w:val="24"/>
        </w:rPr>
        <w:t>criticality of education for overall human development in the state. The Report</w:t>
      </w:r>
      <w:r w:rsidR="007169A7">
        <w:rPr>
          <w:rFonts w:ascii="Times New Roman" w:hAnsi="Times New Roman" w:cs="Times New Roman"/>
          <w:sz w:val="24"/>
          <w:szCs w:val="24"/>
        </w:rPr>
        <w:t xml:space="preserve"> clearly</w:t>
      </w:r>
      <w:r w:rsidR="00BB41D2">
        <w:rPr>
          <w:rFonts w:ascii="Times New Roman" w:hAnsi="Times New Roman" w:cs="Times New Roman"/>
          <w:sz w:val="24"/>
          <w:szCs w:val="24"/>
        </w:rPr>
        <w:t xml:space="preserve"> emphasises on making children stay longer in school along </w:t>
      </w:r>
      <w:r w:rsidR="00BB41D2">
        <w:rPr>
          <w:rFonts w:ascii="Times New Roman" w:hAnsi="Times New Roman" w:cs="Times New Roman"/>
          <w:sz w:val="24"/>
          <w:szCs w:val="24"/>
        </w:rPr>
        <w:lastRenderedPageBreak/>
        <w:t xml:space="preserve">with qualitative </w:t>
      </w:r>
      <w:r w:rsidR="008C7A51">
        <w:rPr>
          <w:rFonts w:ascii="Times New Roman" w:hAnsi="Times New Roman" w:cs="Times New Roman"/>
          <w:sz w:val="24"/>
          <w:szCs w:val="24"/>
        </w:rPr>
        <w:t xml:space="preserve">improvement in education. The Report observes that reducing the dropout rates at all levels is extremely important. </w:t>
      </w:r>
    </w:p>
    <w:p w:rsidR="00A53D75" w:rsidRDefault="00A53D75" w:rsidP="0065529C">
      <w:pPr>
        <w:spacing w:after="0" w:line="240" w:lineRule="auto"/>
        <w:jc w:val="both"/>
        <w:rPr>
          <w:rFonts w:ascii="Times New Roman" w:hAnsi="Times New Roman" w:cs="Times New Roman"/>
          <w:sz w:val="24"/>
          <w:szCs w:val="24"/>
        </w:rPr>
      </w:pPr>
    </w:p>
    <w:p w:rsidR="000212A4" w:rsidRDefault="00CF3EB1" w:rsidP="00655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health front, the Report highlights, inter alia, four issues and concerns. It reiterates the need to accelerate the progress in improving the scenario of infant and maternal mortality. However, in this connection the Report observes that in the context of infant mortality social determinants and behavioural aspects are to be brought within the policy focus. Similarly, the Report observes that maternal mortality, perhaps, cannot be addressed only by focusing on institutional factors and policy must accommodate a range of non-institutional factors. The Report very clearly raises concern on child nutrition scenario in the state. The Report estimates 37.4 </w:t>
      </w:r>
      <w:proofErr w:type="spellStart"/>
      <w:r>
        <w:rPr>
          <w:rFonts w:ascii="Times New Roman" w:hAnsi="Times New Roman" w:cs="Times New Roman"/>
          <w:sz w:val="24"/>
          <w:szCs w:val="24"/>
        </w:rPr>
        <w:t>percent</w:t>
      </w:r>
      <w:proofErr w:type="spellEnd"/>
      <w:r>
        <w:rPr>
          <w:rFonts w:ascii="Times New Roman" w:hAnsi="Times New Roman" w:cs="Times New Roman"/>
          <w:sz w:val="24"/>
          <w:szCs w:val="24"/>
        </w:rPr>
        <w:t xml:space="preserve"> children within the age of 5 years are under weight. The most of the underweight children are in the age less than 2 years and lives in rural areas. Very importantly, the Report does not find a clear gradient </w:t>
      </w:r>
      <w:r w:rsidR="000212A4">
        <w:rPr>
          <w:rFonts w:ascii="Times New Roman" w:hAnsi="Times New Roman" w:cs="Times New Roman"/>
          <w:sz w:val="24"/>
          <w:szCs w:val="24"/>
        </w:rPr>
        <w:t xml:space="preserve">with respect to consumption expenditure classes. This indicates that child </w:t>
      </w:r>
      <w:proofErr w:type="spellStart"/>
      <w:r w:rsidR="000212A4">
        <w:rPr>
          <w:rFonts w:ascii="Times New Roman" w:hAnsi="Times New Roman" w:cs="Times New Roman"/>
          <w:sz w:val="24"/>
          <w:szCs w:val="24"/>
        </w:rPr>
        <w:t>undernutrition</w:t>
      </w:r>
      <w:proofErr w:type="spellEnd"/>
      <w:r w:rsidR="000212A4">
        <w:rPr>
          <w:rFonts w:ascii="Times New Roman" w:hAnsi="Times New Roman" w:cs="Times New Roman"/>
          <w:sz w:val="24"/>
          <w:szCs w:val="24"/>
        </w:rPr>
        <w:t xml:space="preserve"> in the state is not due to poverty alone and thus needs a much wider policy framework for addressing the same. The Report also highlights health vulnerabilities in terms of high out of pocket expenses with very limited risk coverage. </w:t>
      </w:r>
    </w:p>
    <w:p w:rsidR="000212A4" w:rsidRDefault="000212A4" w:rsidP="0065529C">
      <w:pPr>
        <w:spacing w:after="0" w:line="240" w:lineRule="auto"/>
        <w:jc w:val="both"/>
        <w:rPr>
          <w:rFonts w:ascii="Times New Roman" w:hAnsi="Times New Roman" w:cs="Times New Roman"/>
          <w:sz w:val="24"/>
          <w:szCs w:val="24"/>
        </w:rPr>
      </w:pPr>
    </w:p>
    <w:p w:rsidR="00BF4A5C" w:rsidRDefault="00BF4A5C" w:rsidP="00655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Report also points out to the issues and concern regarding early motherhood and early pregnancy and the adolescent girls. The Report finds that about 15 </w:t>
      </w:r>
      <w:proofErr w:type="spellStart"/>
      <w:r>
        <w:rPr>
          <w:rFonts w:ascii="Times New Roman" w:hAnsi="Times New Roman" w:cs="Times New Roman"/>
          <w:sz w:val="24"/>
          <w:szCs w:val="24"/>
        </w:rPr>
        <w:t>percent</w:t>
      </w:r>
      <w:proofErr w:type="spellEnd"/>
      <w:r>
        <w:rPr>
          <w:rFonts w:ascii="Times New Roman" w:hAnsi="Times New Roman" w:cs="Times New Roman"/>
          <w:sz w:val="24"/>
          <w:szCs w:val="24"/>
        </w:rPr>
        <w:t xml:space="preserve"> of girls in the age of 15-19 are already married. The Report observes that this is a serious concern implicating a host of cross-cutting issues related to reproductive and child health, education and employment and gender inequality.</w:t>
      </w:r>
    </w:p>
    <w:p w:rsidR="00BF4A5C" w:rsidRDefault="00BF4A5C" w:rsidP="0065529C">
      <w:pPr>
        <w:spacing w:after="0" w:line="240" w:lineRule="auto"/>
        <w:jc w:val="both"/>
        <w:rPr>
          <w:rFonts w:ascii="Times New Roman" w:hAnsi="Times New Roman" w:cs="Times New Roman"/>
          <w:sz w:val="24"/>
          <w:szCs w:val="24"/>
        </w:rPr>
      </w:pPr>
    </w:p>
    <w:p w:rsidR="00E8757F" w:rsidRDefault="00E8757F" w:rsidP="00E8757F">
      <w:pPr>
        <w:spacing w:after="0" w:line="240" w:lineRule="auto"/>
        <w:rPr>
          <w:rFonts w:ascii="Times New Roman" w:hAnsi="Times New Roman" w:cs="Times New Roman"/>
          <w:sz w:val="24"/>
          <w:szCs w:val="24"/>
        </w:rPr>
      </w:pPr>
      <w:r>
        <w:rPr>
          <w:rFonts w:ascii="Times New Roman" w:hAnsi="Times New Roman" w:cs="Times New Roman"/>
          <w:b/>
          <w:color w:val="1F497D" w:themeColor="text2"/>
          <w:sz w:val="24"/>
          <w:szCs w:val="24"/>
        </w:rPr>
        <w:t xml:space="preserve">Broad Massages </w:t>
      </w:r>
    </w:p>
    <w:p w:rsidR="00920A0E" w:rsidRDefault="00920A0E" w:rsidP="0065529C">
      <w:pPr>
        <w:spacing w:after="0" w:line="240" w:lineRule="auto"/>
        <w:jc w:val="both"/>
        <w:rPr>
          <w:rFonts w:ascii="Times New Roman" w:hAnsi="Times New Roman" w:cs="Times New Roman"/>
          <w:sz w:val="24"/>
          <w:szCs w:val="24"/>
        </w:rPr>
      </w:pPr>
    </w:p>
    <w:p w:rsidR="00EB4AEC" w:rsidRDefault="00920A0E" w:rsidP="00EB4AEC">
      <w:pPr>
        <w:spacing w:after="0" w:line="240" w:lineRule="auto"/>
        <w:jc w:val="both"/>
        <w:rPr>
          <w:rFonts w:ascii="Times New Roman" w:eastAsia="+mn-ea" w:hAnsi="Times New Roman" w:cs="Times New Roman"/>
          <w:color w:val="000000"/>
          <w:kern w:val="24"/>
          <w:position w:val="1"/>
          <w:sz w:val="24"/>
          <w:szCs w:val="24"/>
        </w:rPr>
      </w:pPr>
      <w:r>
        <w:rPr>
          <w:rFonts w:ascii="Times New Roman" w:hAnsi="Times New Roman" w:cs="Times New Roman"/>
          <w:sz w:val="24"/>
          <w:szCs w:val="24"/>
        </w:rPr>
        <w:t xml:space="preserve">The Report </w:t>
      </w:r>
      <w:r w:rsidR="00EB4AEC">
        <w:rPr>
          <w:rFonts w:ascii="Times New Roman" w:hAnsi="Times New Roman" w:cs="Times New Roman"/>
          <w:sz w:val="24"/>
          <w:szCs w:val="24"/>
        </w:rPr>
        <w:t xml:space="preserve">indicates that economic growth needs to be translated into greater human development outcomes and achievements for improving the lives of people. In doing so understanding and managing the various diversities in the state is extremely critical. Three things – as the Report argues – are significant in achieving better human development outcomes viz. gainful employment, quality and universal education and quality and universal healthcare in making the economic growth inclusive and broad-based. Sustaining human development, again, needs to be ensured not only by negotiating the environmental externalities but also by redressing all types and forms of deprivations and inequalities. In fact, the Report underlines that redressing inequalities is fundamental in achieving human development and making it inclusive as well as sustainable. </w:t>
      </w:r>
      <w:r w:rsidR="00EB4AEC">
        <w:rPr>
          <w:rFonts w:ascii="Times New Roman" w:eastAsia="+mn-ea" w:hAnsi="Times New Roman" w:cs="Times New Roman"/>
          <w:color w:val="000000"/>
          <w:kern w:val="24"/>
          <w:position w:val="1"/>
          <w:sz w:val="24"/>
          <w:szCs w:val="24"/>
        </w:rPr>
        <w:t xml:space="preserve">The report makes an important value addition by considering ‘processes’ along with the ‘outcomes’ and emphasises the point that processes are critical to outcome. The Report, therefore, makes a very strong case for getting the processes right by underlining the principles of transparency, accountability and democratisation in the state. The report, in this connection, makes a strong case for inclusive institutions ensuring peoples’ participation in different processes involved. </w:t>
      </w:r>
    </w:p>
    <w:p w:rsidR="00EB4AEC" w:rsidRDefault="00EB4AEC" w:rsidP="00EB4AEC">
      <w:pPr>
        <w:spacing w:after="0" w:line="240" w:lineRule="auto"/>
        <w:jc w:val="both"/>
        <w:rPr>
          <w:rFonts w:ascii="Times New Roman" w:eastAsia="+mn-ea" w:hAnsi="Times New Roman" w:cs="Times New Roman"/>
          <w:color w:val="000000"/>
          <w:kern w:val="24"/>
          <w:position w:val="1"/>
          <w:sz w:val="24"/>
          <w:szCs w:val="24"/>
        </w:rPr>
      </w:pPr>
    </w:p>
    <w:p w:rsidR="004C0562" w:rsidRDefault="00EB4AEC" w:rsidP="00EB4AEC">
      <w:pPr>
        <w:spacing w:after="0" w:line="240" w:lineRule="auto"/>
        <w:jc w:val="both"/>
        <w:rPr>
          <w:rFonts w:ascii="Times New Roman" w:eastAsia="+mn-ea" w:hAnsi="Times New Roman" w:cs="Times New Roman"/>
          <w:color w:val="000000"/>
          <w:kern w:val="24"/>
          <w:position w:val="1"/>
          <w:sz w:val="24"/>
          <w:szCs w:val="24"/>
        </w:rPr>
      </w:pPr>
      <w:r>
        <w:rPr>
          <w:rFonts w:ascii="Times New Roman" w:eastAsia="+mn-ea" w:hAnsi="Times New Roman" w:cs="Times New Roman"/>
          <w:color w:val="000000"/>
          <w:kern w:val="24"/>
          <w:position w:val="1"/>
          <w:sz w:val="24"/>
          <w:szCs w:val="24"/>
        </w:rPr>
        <w:t>The overarching broad massage of the report is that given the multi-layered and multi-faceted complexities emanating out of unique diversities of the state no</w:t>
      </w:r>
      <w:r w:rsidRPr="00E611A7">
        <w:rPr>
          <w:rFonts w:ascii="Times New Roman" w:eastAsia="+mn-ea" w:hAnsi="Times New Roman" w:cs="Times New Roman"/>
          <w:color w:val="000000"/>
          <w:kern w:val="24"/>
          <w:position w:val="1"/>
          <w:sz w:val="24"/>
          <w:szCs w:val="24"/>
        </w:rPr>
        <w:t xml:space="preserve"> generic set of policies</w:t>
      </w:r>
      <w:r>
        <w:rPr>
          <w:rFonts w:ascii="Times New Roman" w:eastAsia="+mn-ea" w:hAnsi="Times New Roman" w:cs="Times New Roman"/>
          <w:color w:val="000000"/>
          <w:kern w:val="24"/>
          <w:position w:val="1"/>
          <w:sz w:val="24"/>
          <w:szCs w:val="24"/>
        </w:rPr>
        <w:t xml:space="preserve"> would be able to bring about overall human development; rather there is a </w:t>
      </w:r>
      <w:r w:rsidRPr="00E611A7">
        <w:rPr>
          <w:rFonts w:ascii="Times New Roman" w:eastAsia="+mn-ea" w:hAnsi="Times New Roman" w:cs="Times New Roman"/>
          <w:color w:val="000000"/>
          <w:kern w:val="24"/>
          <w:position w:val="1"/>
          <w:sz w:val="24"/>
          <w:szCs w:val="24"/>
        </w:rPr>
        <w:t xml:space="preserve">need </w:t>
      </w:r>
      <w:r>
        <w:rPr>
          <w:rFonts w:ascii="Times New Roman" w:eastAsia="+mn-ea" w:hAnsi="Times New Roman" w:cs="Times New Roman"/>
          <w:color w:val="000000"/>
          <w:kern w:val="24"/>
          <w:position w:val="1"/>
          <w:sz w:val="24"/>
          <w:szCs w:val="24"/>
        </w:rPr>
        <w:t xml:space="preserve">for </w:t>
      </w:r>
      <w:r w:rsidR="0062494D">
        <w:rPr>
          <w:rFonts w:ascii="Times New Roman" w:eastAsia="+mn-ea" w:hAnsi="Times New Roman" w:cs="Times New Roman"/>
          <w:color w:val="000000"/>
          <w:kern w:val="24"/>
          <w:position w:val="1"/>
          <w:sz w:val="24"/>
          <w:szCs w:val="24"/>
        </w:rPr>
        <w:t>focussed and</w:t>
      </w:r>
      <w:r w:rsidRPr="00E611A7">
        <w:rPr>
          <w:rFonts w:ascii="Times New Roman" w:eastAsia="+mn-ea" w:hAnsi="Times New Roman" w:cs="Times New Roman"/>
          <w:color w:val="000000"/>
          <w:kern w:val="24"/>
          <w:position w:val="1"/>
          <w:sz w:val="24"/>
          <w:szCs w:val="24"/>
        </w:rPr>
        <w:t xml:space="preserve"> specific set of policies</w:t>
      </w:r>
      <w:r>
        <w:rPr>
          <w:rFonts w:ascii="Times New Roman" w:eastAsia="+mn-ea" w:hAnsi="Times New Roman" w:cs="Times New Roman"/>
          <w:color w:val="000000"/>
          <w:kern w:val="24"/>
          <w:position w:val="1"/>
          <w:sz w:val="24"/>
          <w:szCs w:val="24"/>
        </w:rPr>
        <w:t xml:space="preserve"> to deal with the issues </w:t>
      </w:r>
      <w:r w:rsidR="0062494D">
        <w:rPr>
          <w:rFonts w:ascii="Times New Roman" w:eastAsia="+mn-ea" w:hAnsi="Times New Roman" w:cs="Times New Roman"/>
          <w:color w:val="000000"/>
          <w:kern w:val="24"/>
          <w:position w:val="1"/>
          <w:sz w:val="24"/>
          <w:szCs w:val="24"/>
        </w:rPr>
        <w:t xml:space="preserve">and concerns raised in the Report and achieving higher level of human development in the state. </w:t>
      </w:r>
    </w:p>
    <w:p w:rsidR="004C0562" w:rsidRDefault="004C0562" w:rsidP="00EB4AEC">
      <w:pPr>
        <w:spacing w:after="0" w:line="240" w:lineRule="auto"/>
        <w:jc w:val="both"/>
        <w:rPr>
          <w:rFonts w:ascii="Times New Roman" w:eastAsia="+mn-ea" w:hAnsi="Times New Roman" w:cs="Times New Roman"/>
          <w:color w:val="000000"/>
          <w:kern w:val="24"/>
          <w:position w:val="1"/>
          <w:sz w:val="24"/>
          <w:szCs w:val="24"/>
        </w:rPr>
      </w:pPr>
    </w:p>
    <w:p w:rsidR="00EB4AEC" w:rsidRDefault="004C0562" w:rsidP="004C0562">
      <w:pPr>
        <w:spacing w:after="0" w:line="240" w:lineRule="auto"/>
        <w:jc w:val="center"/>
        <w:rPr>
          <w:rFonts w:ascii="Times New Roman" w:eastAsia="+mn-ea" w:hAnsi="Times New Roman" w:cs="Times New Roman"/>
          <w:color w:val="000000"/>
          <w:kern w:val="24"/>
          <w:position w:val="1"/>
          <w:sz w:val="24"/>
          <w:szCs w:val="24"/>
        </w:rPr>
      </w:pPr>
      <w:r>
        <w:rPr>
          <w:rFonts w:ascii="Times New Roman" w:eastAsia="+mn-ea" w:hAnsi="Times New Roman" w:cs="Times New Roman"/>
          <w:color w:val="000000"/>
          <w:kern w:val="24"/>
          <w:position w:val="1"/>
          <w:sz w:val="24"/>
          <w:szCs w:val="24"/>
        </w:rPr>
        <w:t>*****</w:t>
      </w:r>
    </w:p>
    <w:p w:rsidR="00B1431D" w:rsidRPr="00880B1F" w:rsidRDefault="00EB4AEC" w:rsidP="006552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54863">
        <w:rPr>
          <w:rFonts w:ascii="Times New Roman" w:hAnsi="Times New Roman" w:cs="Times New Roman"/>
          <w:sz w:val="24"/>
          <w:szCs w:val="24"/>
        </w:rPr>
        <w:t xml:space="preserve">  </w:t>
      </w:r>
      <w:r w:rsidR="006B3B71">
        <w:rPr>
          <w:rFonts w:ascii="Times New Roman" w:hAnsi="Times New Roman" w:cs="Times New Roman"/>
          <w:sz w:val="24"/>
          <w:szCs w:val="24"/>
        </w:rPr>
        <w:t xml:space="preserve"> </w:t>
      </w:r>
    </w:p>
    <w:sectPr w:rsidR="00B1431D" w:rsidRPr="00880B1F" w:rsidSect="00447D0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B3F" w:rsidRDefault="00996B3F" w:rsidP="001E401A">
      <w:pPr>
        <w:spacing w:after="0" w:line="240" w:lineRule="auto"/>
      </w:pPr>
      <w:r>
        <w:separator/>
      </w:r>
    </w:p>
  </w:endnote>
  <w:endnote w:type="continuationSeparator" w:id="0">
    <w:p w:rsidR="00996B3F" w:rsidRDefault="00996B3F" w:rsidP="001E4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n-ea">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83495344"/>
      <w:docPartObj>
        <w:docPartGallery w:val="Page Numbers (Bottom of Page)"/>
        <w:docPartUnique/>
      </w:docPartObj>
    </w:sdtPr>
    <w:sdtEndPr/>
    <w:sdtContent>
      <w:p w:rsidR="001E401A" w:rsidRPr="001E401A" w:rsidRDefault="001E401A">
        <w:pPr>
          <w:pStyle w:val="Footer"/>
          <w:jc w:val="center"/>
          <w:rPr>
            <w:rFonts w:ascii="Times New Roman" w:hAnsi="Times New Roman" w:cs="Times New Roman"/>
          </w:rPr>
        </w:pPr>
        <w:r w:rsidRPr="001E401A">
          <w:rPr>
            <w:rFonts w:ascii="Times New Roman" w:hAnsi="Times New Roman" w:cs="Times New Roman"/>
          </w:rPr>
          <w:fldChar w:fldCharType="begin"/>
        </w:r>
        <w:r w:rsidRPr="001E401A">
          <w:rPr>
            <w:rFonts w:ascii="Times New Roman" w:hAnsi="Times New Roman" w:cs="Times New Roman"/>
          </w:rPr>
          <w:instrText xml:space="preserve"> PAGE   \* MERGEFORMAT </w:instrText>
        </w:r>
        <w:r w:rsidRPr="001E401A">
          <w:rPr>
            <w:rFonts w:ascii="Times New Roman" w:hAnsi="Times New Roman" w:cs="Times New Roman"/>
          </w:rPr>
          <w:fldChar w:fldCharType="separate"/>
        </w:r>
        <w:r w:rsidR="006C1B9D">
          <w:rPr>
            <w:rFonts w:ascii="Times New Roman" w:hAnsi="Times New Roman" w:cs="Times New Roman"/>
            <w:noProof/>
          </w:rPr>
          <w:t>4</w:t>
        </w:r>
        <w:r w:rsidRPr="001E401A">
          <w:rPr>
            <w:rFonts w:ascii="Times New Roman" w:hAnsi="Times New Roman" w:cs="Times New Roman"/>
          </w:rPr>
          <w:fldChar w:fldCharType="end"/>
        </w:r>
      </w:p>
    </w:sdtContent>
  </w:sdt>
  <w:p w:rsidR="001E401A" w:rsidRDefault="001E401A">
    <w:pPr>
      <w:pStyle w:val="Footer"/>
      <w:rPr>
        <w:rFonts w:ascii="Times New Roman" w:hAnsi="Times New Roman" w:cs="Times New Roman"/>
      </w:rPr>
    </w:pPr>
  </w:p>
  <w:p w:rsidR="001E401A" w:rsidRPr="001E401A" w:rsidRDefault="001E401A">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B3F" w:rsidRDefault="00996B3F" w:rsidP="001E401A">
      <w:pPr>
        <w:spacing w:after="0" w:line="240" w:lineRule="auto"/>
      </w:pPr>
      <w:r>
        <w:separator/>
      </w:r>
    </w:p>
  </w:footnote>
  <w:footnote w:type="continuationSeparator" w:id="0">
    <w:p w:rsidR="00996B3F" w:rsidRDefault="00996B3F" w:rsidP="001E40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D1C"/>
    <w:rsid w:val="00011C32"/>
    <w:rsid w:val="000212A4"/>
    <w:rsid w:val="00036067"/>
    <w:rsid w:val="0005211E"/>
    <w:rsid w:val="00060DC1"/>
    <w:rsid w:val="00065AD0"/>
    <w:rsid w:val="00075CD5"/>
    <w:rsid w:val="000A0C3D"/>
    <w:rsid w:val="000D795D"/>
    <w:rsid w:val="000E7725"/>
    <w:rsid w:val="001D39F2"/>
    <w:rsid w:val="001D5F07"/>
    <w:rsid w:val="001E401A"/>
    <w:rsid w:val="001E5AD0"/>
    <w:rsid w:val="00241BF0"/>
    <w:rsid w:val="00242EAC"/>
    <w:rsid w:val="002737F7"/>
    <w:rsid w:val="002A6FD0"/>
    <w:rsid w:val="002B5145"/>
    <w:rsid w:val="002D0377"/>
    <w:rsid w:val="00323E6D"/>
    <w:rsid w:val="00370B7F"/>
    <w:rsid w:val="00381C18"/>
    <w:rsid w:val="00392E55"/>
    <w:rsid w:val="00406890"/>
    <w:rsid w:val="00424F29"/>
    <w:rsid w:val="00447D05"/>
    <w:rsid w:val="004C0562"/>
    <w:rsid w:val="004C73A4"/>
    <w:rsid w:val="00555C51"/>
    <w:rsid w:val="005C6900"/>
    <w:rsid w:val="005E4681"/>
    <w:rsid w:val="0060091D"/>
    <w:rsid w:val="00607E10"/>
    <w:rsid w:val="0062494D"/>
    <w:rsid w:val="00633937"/>
    <w:rsid w:val="0065529C"/>
    <w:rsid w:val="00677AD0"/>
    <w:rsid w:val="006B3B71"/>
    <w:rsid w:val="006C1B9D"/>
    <w:rsid w:val="007169A7"/>
    <w:rsid w:val="008205DA"/>
    <w:rsid w:val="0087437F"/>
    <w:rsid w:val="00880B1F"/>
    <w:rsid w:val="008C7A51"/>
    <w:rsid w:val="00920A0E"/>
    <w:rsid w:val="00996B3F"/>
    <w:rsid w:val="00A53D75"/>
    <w:rsid w:val="00A81A1F"/>
    <w:rsid w:val="00A85D34"/>
    <w:rsid w:val="00B1431D"/>
    <w:rsid w:val="00B254A2"/>
    <w:rsid w:val="00BB41D2"/>
    <w:rsid w:val="00BF4A5C"/>
    <w:rsid w:val="00C12D1C"/>
    <w:rsid w:val="00CA3FAB"/>
    <w:rsid w:val="00CF3EB1"/>
    <w:rsid w:val="00D24B88"/>
    <w:rsid w:val="00D55F8E"/>
    <w:rsid w:val="00E645EB"/>
    <w:rsid w:val="00E8757F"/>
    <w:rsid w:val="00EB4AEC"/>
    <w:rsid w:val="00F36E75"/>
    <w:rsid w:val="00F54863"/>
    <w:rsid w:val="00F91F80"/>
    <w:rsid w:val="00FA55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7F"/>
    <w:rPr>
      <w:rFonts w:ascii="Tahoma" w:hAnsi="Tahoma" w:cs="Tahoma"/>
      <w:sz w:val="16"/>
      <w:szCs w:val="16"/>
    </w:rPr>
  </w:style>
  <w:style w:type="paragraph" w:styleId="NormalWeb">
    <w:name w:val="Normal (Web)"/>
    <w:basedOn w:val="Normal"/>
    <w:uiPriority w:val="99"/>
    <w:semiHidden/>
    <w:unhideWhenUsed/>
    <w:rsid w:val="00370B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E40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401A"/>
  </w:style>
  <w:style w:type="paragraph" w:styleId="Footer">
    <w:name w:val="footer"/>
    <w:basedOn w:val="Normal"/>
    <w:link w:val="FooterChar"/>
    <w:uiPriority w:val="99"/>
    <w:unhideWhenUsed/>
    <w:rsid w:val="001E4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0B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B7F"/>
    <w:rPr>
      <w:rFonts w:ascii="Tahoma" w:hAnsi="Tahoma" w:cs="Tahoma"/>
      <w:sz w:val="16"/>
      <w:szCs w:val="16"/>
    </w:rPr>
  </w:style>
  <w:style w:type="paragraph" w:styleId="NormalWeb">
    <w:name w:val="Normal (Web)"/>
    <w:basedOn w:val="Normal"/>
    <w:uiPriority w:val="99"/>
    <w:semiHidden/>
    <w:unhideWhenUsed/>
    <w:rsid w:val="00370B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1E401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401A"/>
  </w:style>
  <w:style w:type="paragraph" w:styleId="Footer">
    <w:name w:val="footer"/>
    <w:basedOn w:val="Normal"/>
    <w:link w:val="FooterChar"/>
    <w:uiPriority w:val="99"/>
    <w:unhideWhenUsed/>
    <w:rsid w:val="001E4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4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58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MDG%20Status%20Report%20Assam%20P%20&amp;%20D\Excel%20Graph%20designs\Twisted%20row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0"/>
    <c:plotArea>
      <c:layout>
        <c:manualLayout>
          <c:layoutTarget val="inner"/>
          <c:xMode val="edge"/>
          <c:yMode val="edge"/>
          <c:x val="7.562801213857813E-2"/>
          <c:y val="4.4311176219251826E-2"/>
          <c:w val="0.90353874948138757"/>
          <c:h val="0.90752688172042795"/>
        </c:manualLayout>
      </c:layout>
      <c:scatterChart>
        <c:scatterStyle val="smoothMarker"/>
        <c:varyColors val="0"/>
        <c:ser>
          <c:idx val="0"/>
          <c:order val="0"/>
          <c:spPr>
            <a:ln w="66675">
              <a:noFill/>
            </a:ln>
          </c:spPr>
          <c:marker>
            <c:symbol val="none"/>
          </c:marker>
          <c:dLbls>
            <c:dLbl>
              <c:idx val="0"/>
              <c:tx>
                <c:strRef>
                  <c:f>Foglio1!$A$2</c:f>
                  <c:strCache>
                    <c:ptCount val="1"/>
                    <c:pt idx="0">
                      <c:v>2001</c:v>
                    </c:pt>
                  </c:strCache>
                </c:strRef>
              </c:tx>
              <c:dLblPos val="l"/>
              <c:showLegendKey val="0"/>
              <c:showVal val="1"/>
              <c:showCatName val="0"/>
              <c:showSerName val="0"/>
              <c:showPercent val="0"/>
              <c:showBubbleSize val="0"/>
            </c:dLbl>
            <c:dLbl>
              <c:idx val="1"/>
              <c:tx>
                <c:strRef>
                  <c:f>Foglio1!$A$3</c:f>
                  <c:strCache>
                    <c:ptCount val="1"/>
                    <c:pt idx="0">
                      <c:v>2003</c:v>
                    </c:pt>
                  </c:strCache>
                </c:strRef>
              </c:tx>
              <c:dLblPos val="l"/>
              <c:showLegendKey val="0"/>
              <c:showVal val="1"/>
              <c:showCatName val="0"/>
              <c:showSerName val="0"/>
              <c:showPercent val="0"/>
              <c:showBubbleSize val="0"/>
            </c:dLbl>
            <c:dLbl>
              <c:idx val="2"/>
              <c:tx>
                <c:strRef>
                  <c:f>Foglio1!$A$4</c:f>
                  <c:strCache>
                    <c:ptCount val="1"/>
                    <c:pt idx="0">
                      <c:v>2011</c:v>
                    </c:pt>
                  </c:strCache>
                </c:strRef>
              </c:tx>
              <c:dLblPos val="l"/>
              <c:showLegendKey val="0"/>
              <c:showVal val="1"/>
              <c:showCatName val="0"/>
              <c:showSerName val="0"/>
              <c:showPercent val="0"/>
              <c:showBubbleSize val="0"/>
            </c:dLbl>
            <c:dLbl>
              <c:idx val="3"/>
              <c:tx>
                <c:strRef>
                  <c:f>Foglio1!$A$5</c:f>
                  <c:strCache>
                    <c:ptCount val="1"/>
                    <c:pt idx="0">
                      <c:v>2014</c:v>
                    </c:pt>
                  </c:strCache>
                </c:strRef>
              </c:tx>
              <c:dLblPos val="l"/>
              <c:showLegendKey val="0"/>
              <c:showVal val="1"/>
              <c:showCatName val="0"/>
              <c:showSerName val="0"/>
              <c:showPercent val="0"/>
              <c:showBubbleSize val="0"/>
            </c:dLbl>
            <c:dLbl>
              <c:idx val="4"/>
              <c:tx>
                <c:strRef>
                  <c:f>Foglio1!$A$6</c:f>
                  <c:strCache>
                    <c:ptCount val="1"/>
                  </c:strCache>
                </c:strRef>
              </c:tx>
              <c:dLblPos val="l"/>
              <c:showLegendKey val="0"/>
              <c:showVal val="1"/>
              <c:showCatName val="0"/>
              <c:showSerName val="0"/>
              <c:showPercent val="0"/>
              <c:showBubbleSize val="0"/>
            </c:dLbl>
            <c:dLbl>
              <c:idx val="5"/>
              <c:tx>
                <c:strRef>
                  <c:f>Foglio1!$A$7</c:f>
                  <c:strCache>
                    <c:ptCount val="1"/>
                  </c:strCache>
                </c:strRef>
              </c:tx>
              <c:dLblPos val="l"/>
              <c:showLegendKey val="0"/>
              <c:showVal val="1"/>
              <c:showCatName val="0"/>
              <c:showSerName val="0"/>
              <c:showPercent val="0"/>
              <c:showBubbleSize val="0"/>
            </c:dLbl>
            <c:dLbl>
              <c:idx val="6"/>
              <c:tx>
                <c:strRef>
                  <c:f>Foglio1!$A$8</c:f>
                  <c:strCache>
                    <c:ptCount val="1"/>
                  </c:strCache>
                </c:strRef>
              </c:tx>
              <c:dLblPos val="l"/>
              <c:showLegendKey val="0"/>
              <c:showVal val="1"/>
              <c:showCatName val="0"/>
              <c:showSerName val="0"/>
              <c:showPercent val="0"/>
              <c:showBubbleSize val="0"/>
            </c:dLbl>
            <c:dLbl>
              <c:idx val="7"/>
              <c:tx>
                <c:strRef>
                  <c:f>Foglio1!$A$9</c:f>
                  <c:strCache>
                    <c:ptCount val="1"/>
                  </c:strCache>
                </c:strRef>
              </c:tx>
              <c:dLblPos val="l"/>
              <c:showLegendKey val="0"/>
              <c:showVal val="1"/>
              <c:showCatName val="0"/>
              <c:showSerName val="0"/>
              <c:showPercent val="0"/>
              <c:showBubbleSize val="0"/>
            </c:dLbl>
            <c:dLbl>
              <c:idx val="8"/>
              <c:tx>
                <c:strRef>
                  <c:f>Foglio1!$A$10</c:f>
                  <c:strCache>
                    <c:ptCount val="1"/>
                  </c:strCache>
                </c:strRef>
              </c:tx>
              <c:dLblPos val="l"/>
              <c:showLegendKey val="0"/>
              <c:showVal val="1"/>
              <c:showCatName val="0"/>
              <c:showSerName val="0"/>
              <c:showPercent val="0"/>
              <c:showBubbleSize val="0"/>
            </c:dLbl>
            <c:dLbl>
              <c:idx val="9"/>
              <c:tx>
                <c:strRef>
                  <c:f>Foglio1!$A$11</c:f>
                  <c:strCache>
                    <c:ptCount val="1"/>
                  </c:strCache>
                </c:strRef>
              </c:tx>
              <c:dLblPos val="l"/>
              <c:showLegendKey val="0"/>
              <c:showVal val="1"/>
              <c:showCatName val="0"/>
              <c:showSerName val="0"/>
              <c:showPercent val="0"/>
              <c:showBubbleSize val="0"/>
            </c:dLbl>
            <c:dLbl>
              <c:idx val="10"/>
              <c:tx>
                <c:strRef>
                  <c:f>Foglio1!$A$12</c:f>
                  <c:strCache>
                    <c:ptCount val="1"/>
                  </c:strCache>
                </c:strRef>
              </c:tx>
              <c:dLblPos val="l"/>
              <c:showLegendKey val="0"/>
              <c:showVal val="1"/>
              <c:showCatName val="0"/>
              <c:showSerName val="0"/>
              <c:showPercent val="0"/>
              <c:showBubbleSize val="0"/>
            </c:dLbl>
            <c:numFmt formatCode="General" sourceLinked="0"/>
            <c:txPr>
              <a:bodyPr/>
              <a:lstStyle/>
              <a:p>
                <a:pPr>
                  <a:defRPr sz="1200" b="1">
                    <a:solidFill>
                      <a:schemeClr val="accent6">
                        <a:lumMod val="75000"/>
                      </a:schemeClr>
                    </a:solidFill>
                    <a:latin typeface="Times New Roman" pitchFamily="18" charset="0"/>
                    <a:cs typeface="Times New Roman" pitchFamily="18" charset="0"/>
                  </a:defRPr>
                </a:pPr>
                <a:endParaRPr lang="en-US"/>
              </a:p>
            </c:txPr>
            <c:dLblPos val="l"/>
            <c:showLegendKey val="0"/>
            <c:showVal val="1"/>
            <c:showCatName val="0"/>
            <c:showSerName val="0"/>
            <c:showPercent val="0"/>
            <c:showBubbleSize val="0"/>
            <c:showLeaderLines val="0"/>
          </c:dLbls>
          <c:xVal>
            <c:numRef>
              <c:f>'Twisted rows.xlsx'!y_asse</c:f>
              <c:numCache>
                <c:formatCode>General</c:formatCode>
                <c:ptCount val="4"/>
                <c:pt idx="0">
                  <c:v>0</c:v>
                </c:pt>
                <c:pt idx="1">
                  <c:v>0</c:v>
                </c:pt>
                <c:pt idx="2">
                  <c:v>0</c:v>
                </c:pt>
                <c:pt idx="3">
                  <c:v>0</c:v>
                </c:pt>
              </c:numCache>
            </c:numRef>
          </c:xVal>
          <c:yVal>
            <c:numRef>
              <c:f>'Twisted rows.xlsx'!x_asse</c:f>
              <c:numCache>
                <c:formatCode>General</c:formatCode>
                <c:ptCount val="4"/>
                <c:pt idx="0">
                  <c:v>-100</c:v>
                </c:pt>
                <c:pt idx="1">
                  <c:v>-101</c:v>
                </c:pt>
                <c:pt idx="2">
                  <c:v>-102</c:v>
                </c:pt>
                <c:pt idx="3">
                  <c:v>-103</c:v>
                </c:pt>
              </c:numCache>
            </c:numRef>
          </c:yVal>
          <c:smooth val="1"/>
        </c:ser>
        <c:ser>
          <c:idx val="1"/>
          <c:order val="1"/>
          <c:marker>
            <c:symbol val="none"/>
          </c:marker>
          <c:xVal>
            <c:numRef>
              <c:f>'Twisted rows.xlsx'!x</c:f>
              <c:numCache>
                <c:formatCode>General</c:formatCode>
                <c:ptCount val="204"/>
                <c:pt idx="0">
                  <c:v>-0.69812602979612959</c:v>
                </c:pt>
                <c:pt idx="1">
                  <c:v>0.3490651415223332</c:v>
                </c:pt>
                <c:pt idx="2">
                  <c:v>1.3962180339145143</c:v>
                </c:pt>
                <c:pt idx="3">
                  <c:v>2.4432178152652342</c:v>
                </c:pt>
                <c:pt idx="4">
                  <c:v>3.4899496702501267</c:v>
                </c:pt>
                <c:pt idx="5">
                  <c:v>4.5362988129254322</c:v>
                </c:pt>
                <c:pt idx="6">
                  <c:v>5.58215049931637</c:v>
                </c:pt>
                <c:pt idx="7">
                  <c:v>6.6273900400000265</c:v>
                </c:pt>
                <c:pt idx="8">
                  <c:v>7.6719028126818118</c:v>
                </c:pt>
                <c:pt idx="9">
                  <c:v>8.7155742747658067</c:v>
                </c:pt>
                <c:pt idx="10">
                  <c:v>9.7582899759149448</c:v>
                </c:pt>
                <c:pt idx="11">
                  <c:v>10.799935570602226</c:v>
                </c:pt>
                <c:pt idx="12">
                  <c:v>11.840396830650137</c:v>
                </c:pt>
                <c:pt idx="13">
                  <c:v>12.879559657756303</c:v>
                </c:pt>
                <c:pt idx="14">
                  <c:v>13.917310096006547</c:v>
                </c:pt>
                <c:pt idx="15">
                  <c:v>14.953534344371008</c:v>
                </c:pt>
                <c:pt idx="16">
                  <c:v>15.988118769183441</c:v>
                </c:pt>
                <c:pt idx="17">
                  <c:v>17.020949916603229</c:v>
                </c:pt>
                <c:pt idx="18">
                  <c:v>18.051914525055931</c:v>
                </c:pt>
                <c:pt idx="19">
                  <c:v>19.08089953765451</c:v>
                </c:pt>
                <c:pt idx="20">
                  <c:v>20.107792114596531</c:v>
                </c:pt>
                <c:pt idx="21">
                  <c:v>21.132479645538826</c:v>
                </c:pt>
                <c:pt idx="22">
                  <c:v>21.132479645538826</c:v>
                </c:pt>
                <c:pt idx="23">
                  <c:v>20.107792114596531</c:v>
                </c:pt>
                <c:pt idx="24">
                  <c:v>19.08089953765451</c:v>
                </c:pt>
                <c:pt idx="25">
                  <c:v>18.051914525055931</c:v>
                </c:pt>
                <c:pt idx="26">
                  <c:v>17.020949916603229</c:v>
                </c:pt>
                <c:pt idx="27">
                  <c:v>15.988118769183441</c:v>
                </c:pt>
                <c:pt idx="28">
                  <c:v>14.953534344371008</c:v>
                </c:pt>
                <c:pt idx="29">
                  <c:v>13.917310096006547</c:v>
                </c:pt>
                <c:pt idx="30">
                  <c:v>12.879559657756303</c:v>
                </c:pt>
                <c:pt idx="31">
                  <c:v>11.840396830650137</c:v>
                </c:pt>
                <c:pt idx="32">
                  <c:v>10.799935570602226</c:v>
                </c:pt>
                <c:pt idx="33">
                  <c:v>9.7582899759149448</c:v>
                </c:pt>
                <c:pt idx="34">
                  <c:v>8.7155742747658067</c:v>
                </c:pt>
                <c:pt idx="35">
                  <c:v>7.6719028126818118</c:v>
                </c:pt>
                <c:pt idx="36">
                  <c:v>6.6273900400000265</c:v>
                </c:pt>
                <c:pt idx="37">
                  <c:v>5.58215049931637</c:v>
                </c:pt>
                <c:pt idx="38">
                  <c:v>4.5362988129254322</c:v>
                </c:pt>
                <c:pt idx="39">
                  <c:v>3.4899496702501267</c:v>
                </c:pt>
                <c:pt idx="40">
                  <c:v>2.4432178152652342</c:v>
                </c:pt>
                <c:pt idx="41">
                  <c:v>1.3962180339145143</c:v>
                </c:pt>
                <c:pt idx="42">
                  <c:v>0.3490651415223332</c:v>
                </c:pt>
                <c:pt idx="43">
                  <c:v>-0.69812602979612959</c:v>
                </c:pt>
                <c:pt idx="44">
                  <c:v>-0.70510729009409301</c:v>
                </c:pt>
                <c:pt idx="45">
                  <c:v>0.35255579293755718</c:v>
                </c:pt>
                <c:pt idx="46">
                  <c:v>1.4101802142536559</c:v>
                </c:pt>
                <c:pt idx="47">
                  <c:v>2.4676499934178779</c:v>
                </c:pt>
                <c:pt idx="48">
                  <c:v>3.5248491669526287</c:v>
                </c:pt>
                <c:pt idx="49">
                  <c:v>4.581661801054703</c:v>
                </c:pt>
                <c:pt idx="50">
                  <c:v>5.6379720043095336</c:v>
                </c:pt>
                <c:pt idx="51">
                  <c:v>6.6936639404000324</c:v>
                </c:pt>
                <c:pt idx="52">
                  <c:v>7.7486218408086334</c:v>
                </c:pt>
                <c:pt idx="53">
                  <c:v>8.8027300175134755</c:v>
                </c:pt>
                <c:pt idx="54">
                  <c:v>9.8558728756741179</c:v>
                </c:pt>
                <c:pt idx="55">
                  <c:v>10.907934926308272</c:v>
                </c:pt>
                <c:pt idx="56">
                  <c:v>11.95880079895665</c:v>
                </c:pt>
                <c:pt idx="57">
                  <c:v>13.008355254333818</c:v>
                </c:pt>
                <c:pt idx="58">
                  <c:v>14.056483196966653</c:v>
                </c:pt>
                <c:pt idx="59">
                  <c:v>15.103069687814688</c:v>
                </c:pt>
                <c:pt idx="60">
                  <c:v>16.147999956875285</c:v>
                </c:pt>
                <c:pt idx="61">
                  <c:v>17.19115941576927</c:v>
                </c:pt>
                <c:pt idx="62">
                  <c:v>18.232433670306424</c:v>
                </c:pt>
                <c:pt idx="63">
                  <c:v>19.271708533031003</c:v>
                </c:pt>
                <c:pt idx="64">
                  <c:v>20.308870035742491</c:v>
                </c:pt>
                <c:pt idx="65">
                  <c:v>21.343804441994244</c:v>
                </c:pt>
                <c:pt idx="66">
                  <c:v>22.376398259566212</c:v>
                </c:pt>
                <c:pt idx="67">
                  <c:v>22.376398259566212</c:v>
                </c:pt>
                <c:pt idx="68">
                  <c:v>21.343804441994244</c:v>
                </c:pt>
                <c:pt idx="69">
                  <c:v>20.308870035742491</c:v>
                </c:pt>
                <c:pt idx="70">
                  <c:v>19.271708533031003</c:v>
                </c:pt>
                <c:pt idx="71">
                  <c:v>18.232433670306424</c:v>
                </c:pt>
                <c:pt idx="72">
                  <c:v>17.19115941576927</c:v>
                </c:pt>
                <c:pt idx="73">
                  <c:v>16.147999956875285</c:v>
                </c:pt>
                <c:pt idx="74">
                  <c:v>15.103069687814688</c:v>
                </c:pt>
                <c:pt idx="75">
                  <c:v>14.056483196966653</c:v>
                </c:pt>
                <c:pt idx="76">
                  <c:v>13.008355254333818</c:v>
                </c:pt>
                <c:pt idx="77">
                  <c:v>11.95880079895665</c:v>
                </c:pt>
                <c:pt idx="78">
                  <c:v>10.907934926308272</c:v>
                </c:pt>
                <c:pt idx="79">
                  <c:v>9.8558728756741179</c:v>
                </c:pt>
                <c:pt idx="80">
                  <c:v>8.8027300175134755</c:v>
                </c:pt>
                <c:pt idx="81">
                  <c:v>7.7486218408086334</c:v>
                </c:pt>
                <c:pt idx="82">
                  <c:v>6.6936639404000324</c:v>
                </c:pt>
                <c:pt idx="83">
                  <c:v>5.6379720043095336</c:v>
                </c:pt>
                <c:pt idx="84">
                  <c:v>4.581661801054703</c:v>
                </c:pt>
                <c:pt idx="85">
                  <c:v>3.5248491669526287</c:v>
                </c:pt>
                <c:pt idx="86">
                  <c:v>2.4676499934178779</c:v>
                </c:pt>
                <c:pt idx="87">
                  <c:v>1.4101802142536559</c:v>
                </c:pt>
                <c:pt idx="88">
                  <c:v>0.35255579293755718</c:v>
                </c:pt>
                <c:pt idx="89">
                  <c:v>-0.70510729009409301</c:v>
                </c:pt>
                <c:pt idx="90">
                  <c:v>-0.71208855039205277</c:v>
                </c:pt>
                <c:pt idx="91">
                  <c:v>0.35604644435277982</c:v>
                </c:pt>
                <c:pt idx="92">
                  <c:v>1.4241423945928009</c:v>
                </c:pt>
                <c:pt idx="93">
                  <c:v>2.4920821715705377</c:v>
                </c:pt>
                <c:pt idx="94">
                  <c:v>3.5597486636551219</c:v>
                </c:pt>
                <c:pt idx="95">
                  <c:v>4.6270247891839356</c:v>
                </c:pt>
                <c:pt idx="96">
                  <c:v>5.6937935093026972</c:v>
                </c:pt>
                <c:pt idx="97">
                  <c:v>6.7599378408000268</c:v>
                </c:pt>
                <c:pt idx="98">
                  <c:v>7.8253408689354265</c:v>
                </c:pt>
                <c:pt idx="99">
                  <c:v>8.8898857602611052</c:v>
                </c:pt>
                <c:pt idx="100">
                  <c:v>9.9534557754332678</c:v>
                </c:pt>
                <c:pt idx="101">
                  <c:v>11.015934282014276</c:v>
                </c:pt>
                <c:pt idx="102">
                  <c:v>12.077204767263138</c:v>
                </c:pt>
                <c:pt idx="103">
                  <c:v>13.137150850911381</c:v>
                </c:pt>
                <c:pt idx="104">
                  <c:v>14.195656297926723</c:v>
                </c:pt>
                <c:pt idx="105">
                  <c:v>15.252605031258406</c:v>
                </c:pt>
                <c:pt idx="106">
                  <c:v>16.30788114456713</c:v>
                </c:pt>
                <c:pt idx="107">
                  <c:v>17.361368914935287</c:v>
                </c:pt>
                <c:pt idx="108">
                  <c:v>18.412952815557027</c:v>
                </c:pt>
                <c:pt idx="109">
                  <c:v>19.462517528407556</c:v>
                </c:pt>
                <c:pt idx="110">
                  <c:v>20.509947956888499</c:v>
                </c:pt>
                <c:pt idx="111">
                  <c:v>21.555129238449581</c:v>
                </c:pt>
                <c:pt idx="112">
                  <c:v>22.597946757185678</c:v>
                </c:pt>
                <c:pt idx="113">
                  <c:v>23.638286156403993</c:v>
                </c:pt>
                <c:pt idx="114">
                  <c:v>24.67603335116608</c:v>
                </c:pt>
                <c:pt idx="115">
                  <c:v>24.67603335116608</c:v>
                </c:pt>
                <c:pt idx="116">
                  <c:v>23.638286156403993</c:v>
                </c:pt>
                <c:pt idx="117">
                  <c:v>22.597946757185678</c:v>
                </c:pt>
                <c:pt idx="118">
                  <c:v>21.555129238449581</c:v>
                </c:pt>
                <c:pt idx="119">
                  <c:v>20.509947956888499</c:v>
                </c:pt>
                <c:pt idx="120">
                  <c:v>19.462517528407556</c:v>
                </c:pt>
                <c:pt idx="121">
                  <c:v>18.412952815557027</c:v>
                </c:pt>
                <c:pt idx="122">
                  <c:v>17.361368914935287</c:v>
                </c:pt>
                <c:pt idx="123">
                  <c:v>16.30788114456713</c:v>
                </c:pt>
                <c:pt idx="124">
                  <c:v>15.252605031258406</c:v>
                </c:pt>
                <c:pt idx="125">
                  <c:v>14.195656297926723</c:v>
                </c:pt>
                <c:pt idx="126">
                  <c:v>13.137150850911381</c:v>
                </c:pt>
                <c:pt idx="127">
                  <c:v>12.077204767263138</c:v>
                </c:pt>
                <c:pt idx="128">
                  <c:v>11.015934282014276</c:v>
                </c:pt>
                <c:pt idx="129">
                  <c:v>9.9534557754332678</c:v>
                </c:pt>
                <c:pt idx="130">
                  <c:v>8.8898857602611052</c:v>
                </c:pt>
                <c:pt idx="131">
                  <c:v>7.8253408689354265</c:v>
                </c:pt>
                <c:pt idx="132">
                  <c:v>6.7599378408000268</c:v>
                </c:pt>
                <c:pt idx="133">
                  <c:v>5.6937935093026972</c:v>
                </c:pt>
                <c:pt idx="134">
                  <c:v>4.6270247891839356</c:v>
                </c:pt>
                <c:pt idx="135">
                  <c:v>3.5597486636551219</c:v>
                </c:pt>
                <c:pt idx="136">
                  <c:v>2.4920821715705377</c:v>
                </c:pt>
                <c:pt idx="137">
                  <c:v>1.4241423945928009</c:v>
                </c:pt>
                <c:pt idx="138">
                  <c:v>0.35604644435277982</c:v>
                </c:pt>
                <c:pt idx="139">
                  <c:v>-0.71208855039205277</c:v>
                </c:pt>
                <c:pt idx="140">
                  <c:v>-0.71906981069001619</c:v>
                </c:pt>
                <c:pt idx="141">
                  <c:v>0.3595370957680033</c:v>
                </c:pt>
                <c:pt idx="142">
                  <c:v>1.4381045749319461</c:v>
                </c:pt>
                <c:pt idx="143">
                  <c:v>2.5165143497231908</c:v>
                </c:pt>
                <c:pt idx="144">
                  <c:v>3.5946481603576261</c:v>
                </c:pt>
                <c:pt idx="145">
                  <c:v>4.6723877773131957</c:v>
                </c:pt>
                <c:pt idx="146">
                  <c:v>5.7496150142958715</c:v>
                </c:pt>
                <c:pt idx="147">
                  <c:v>6.8262117412000274</c:v>
                </c:pt>
                <c:pt idx="148">
                  <c:v>7.9020598970622684</c:v>
                </c:pt>
                <c:pt idx="149">
                  <c:v>8.9770415030087705</c:v>
                </c:pt>
                <c:pt idx="150">
                  <c:v>10.051038675192396</c:v>
                </c:pt>
                <c:pt idx="151">
                  <c:v>11.123933637720286</c:v>
                </c:pt>
                <c:pt idx="152">
                  <c:v>12.195608735569666</c:v>
                </c:pt>
                <c:pt idx="153">
                  <c:v>13.265946447488975</c:v>
                </c:pt>
                <c:pt idx="154">
                  <c:v>14.33482939888675</c:v>
                </c:pt>
                <c:pt idx="155">
                  <c:v>15.402140374702126</c:v>
                </c:pt>
                <c:pt idx="156">
                  <c:v>16.467762332258904</c:v>
                </c:pt>
                <c:pt idx="157">
                  <c:v>17.531578414101336</c:v>
                </c:pt>
                <c:pt idx="158">
                  <c:v>18.593471960807594</c:v>
                </c:pt>
                <c:pt idx="159">
                  <c:v>19.653326523784127</c:v>
                </c:pt>
                <c:pt idx="160">
                  <c:v>20.71102587803443</c:v>
                </c:pt>
                <c:pt idx="161">
                  <c:v>21.766454034904989</c:v>
                </c:pt>
                <c:pt idx="162">
                  <c:v>22.819495254805144</c:v>
                </c:pt>
                <c:pt idx="163">
                  <c:v>23.870034059898192</c:v>
                </c:pt>
                <c:pt idx="164">
                  <c:v>24.917955246765747</c:v>
                </c:pt>
                <c:pt idx="165">
                  <c:v>25.963143899040652</c:v>
                </c:pt>
                <c:pt idx="166">
                  <c:v>27.005485400008997</c:v>
                </c:pt>
                <c:pt idx="167">
                  <c:v>28.044865445179198</c:v>
                </c:pt>
                <c:pt idx="168">
                  <c:v>29.081170054816248</c:v>
                </c:pt>
                <c:pt idx="169">
                  <c:v>30.114285586441891</c:v>
                </c:pt>
                <c:pt idx="170">
                  <c:v>31.144098747295835</c:v>
                </c:pt>
                <c:pt idx="171">
                  <c:v>32.170496606759912</c:v>
                </c:pt>
                <c:pt idx="172">
                  <c:v>32.170496606759912</c:v>
                </c:pt>
                <c:pt idx="173">
                  <c:v>31.144098747295835</c:v>
                </c:pt>
                <c:pt idx="174">
                  <c:v>30.114285586441891</c:v>
                </c:pt>
                <c:pt idx="175">
                  <c:v>29.081170054816248</c:v>
                </c:pt>
                <c:pt idx="176">
                  <c:v>28.044865445179198</c:v>
                </c:pt>
                <c:pt idx="177">
                  <c:v>27.005485400008997</c:v>
                </c:pt>
                <c:pt idx="178">
                  <c:v>25.963143899040652</c:v>
                </c:pt>
                <c:pt idx="179">
                  <c:v>24.917955246765747</c:v>
                </c:pt>
                <c:pt idx="180">
                  <c:v>23.870034059898192</c:v>
                </c:pt>
                <c:pt idx="181">
                  <c:v>22.819495254805144</c:v>
                </c:pt>
                <c:pt idx="182">
                  <c:v>21.766454034904989</c:v>
                </c:pt>
                <c:pt idx="183">
                  <c:v>20.71102587803443</c:v>
                </c:pt>
                <c:pt idx="184">
                  <c:v>19.653326523784127</c:v>
                </c:pt>
                <c:pt idx="185">
                  <c:v>18.593471960807594</c:v>
                </c:pt>
                <c:pt idx="186">
                  <c:v>17.531578414101336</c:v>
                </c:pt>
                <c:pt idx="187">
                  <c:v>16.467762332258904</c:v>
                </c:pt>
                <c:pt idx="188">
                  <c:v>15.402140374702126</c:v>
                </c:pt>
                <c:pt idx="189">
                  <c:v>14.33482939888675</c:v>
                </c:pt>
                <c:pt idx="190">
                  <c:v>13.265946447488975</c:v>
                </c:pt>
                <c:pt idx="191">
                  <c:v>12.195608735569666</c:v>
                </c:pt>
                <c:pt idx="192">
                  <c:v>11.123933637720286</c:v>
                </c:pt>
                <c:pt idx="193">
                  <c:v>10.051038675192396</c:v>
                </c:pt>
                <c:pt idx="194">
                  <c:v>8.9770415030087705</c:v>
                </c:pt>
                <c:pt idx="195">
                  <c:v>7.9020598970622684</c:v>
                </c:pt>
                <c:pt idx="196">
                  <c:v>6.8262117412000274</c:v>
                </c:pt>
                <c:pt idx="197">
                  <c:v>5.7496150142958715</c:v>
                </c:pt>
                <c:pt idx="198">
                  <c:v>4.6723877773131957</c:v>
                </c:pt>
                <c:pt idx="199">
                  <c:v>3.5946481603576261</c:v>
                </c:pt>
                <c:pt idx="200">
                  <c:v>2.5165143497231908</c:v>
                </c:pt>
                <c:pt idx="201">
                  <c:v>1.4381045749319461</c:v>
                </c:pt>
                <c:pt idx="202">
                  <c:v>0.3595370957680033</c:v>
                </c:pt>
                <c:pt idx="203">
                  <c:v>-0.71906981069001619</c:v>
                </c:pt>
              </c:numCache>
            </c:numRef>
          </c:xVal>
          <c:yVal>
            <c:numRef>
              <c:f>'Twisted rows.xlsx'!y</c:f>
              <c:numCache>
                <c:formatCode>General</c:formatCode>
                <c:ptCount val="204"/>
                <c:pt idx="0">
                  <c:v>-99.997563070539627</c:v>
                </c:pt>
                <c:pt idx="1">
                  <c:v>-99.999390765779097</c:v>
                </c:pt>
                <c:pt idx="2">
                  <c:v>-99.990252400930629</c:v>
                </c:pt>
                <c:pt idx="3">
                  <c:v>-99.970148978118317</c:v>
                </c:pt>
                <c:pt idx="4">
                  <c:v>-99.93908270190957</c:v>
                </c:pt>
                <c:pt idx="5">
                  <c:v>-99.897056979071465</c:v>
                </c:pt>
                <c:pt idx="6">
                  <c:v>-99.8440764181981</c:v>
                </c:pt>
                <c:pt idx="7">
                  <c:v>-99.78014682920498</c:v>
                </c:pt>
                <c:pt idx="8">
                  <c:v>-99.705275222692009</c:v>
                </c:pt>
                <c:pt idx="9">
                  <c:v>-99.619469809174561</c:v>
                </c:pt>
                <c:pt idx="10">
                  <c:v>-99.522739998182928</c:v>
                </c:pt>
                <c:pt idx="11">
                  <c:v>-99.415096397231551</c:v>
                </c:pt>
                <c:pt idx="12">
                  <c:v>-99.296550810653528</c:v>
                </c:pt>
                <c:pt idx="13">
                  <c:v>-99.167116238309063</c:v>
                </c:pt>
                <c:pt idx="14">
                  <c:v>-99.026806874157018</c:v>
                </c:pt>
                <c:pt idx="15">
                  <c:v>-98.875638104700244</c:v>
                </c:pt>
                <c:pt idx="16">
                  <c:v>-98.713626507298827</c:v>
                </c:pt>
                <c:pt idx="17">
                  <c:v>-98.540789848349021</c:v>
                </c:pt>
                <c:pt idx="18">
                  <c:v>-98.357147081338624</c:v>
                </c:pt>
                <c:pt idx="19">
                  <c:v>-98.162718344766077</c:v>
                </c:pt>
                <c:pt idx="20">
                  <c:v>-97.957524959934617</c:v>
                </c:pt>
                <c:pt idx="21">
                  <c:v>-97.741589428609757</c:v>
                </c:pt>
                <c:pt idx="22">
                  <c:v>-97.741589428609757</c:v>
                </c:pt>
                <c:pt idx="23">
                  <c:v>-97.957524959934617</c:v>
                </c:pt>
                <c:pt idx="24">
                  <c:v>-98.162718344766077</c:v>
                </c:pt>
                <c:pt idx="25">
                  <c:v>-98.357147081338624</c:v>
                </c:pt>
                <c:pt idx="26">
                  <c:v>-98.540789848349021</c:v>
                </c:pt>
                <c:pt idx="27">
                  <c:v>-98.713626507298827</c:v>
                </c:pt>
                <c:pt idx="28">
                  <c:v>-98.875638104700244</c:v>
                </c:pt>
                <c:pt idx="29">
                  <c:v>-99.026806874157018</c:v>
                </c:pt>
                <c:pt idx="30">
                  <c:v>-99.167116238309063</c:v>
                </c:pt>
                <c:pt idx="31">
                  <c:v>-99.296550810653528</c:v>
                </c:pt>
                <c:pt idx="32">
                  <c:v>-99.415096397231551</c:v>
                </c:pt>
                <c:pt idx="33">
                  <c:v>-99.522739998182928</c:v>
                </c:pt>
                <c:pt idx="34">
                  <c:v>-99.619469809174561</c:v>
                </c:pt>
                <c:pt idx="35">
                  <c:v>-99.705275222692009</c:v>
                </c:pt>
                <c:pt idx="36">
                  <c:v>-99.78014682920498</c:v>
                </c:pt>
                <c:pt idx="37">
                  <c:v>-99.8440764181981</c:v>
                </c:pt>
                <c:pt idx="38">
                  <c:v>-99.897056979071465</c:v>
                </c:pt>
                <c:pt idx="39">
                  <c:v>-99.93908270190957</c:v>
                </c:pt>
                <c:pt idx="40">
                  <c:v>-99.970148978118317</c:v>
                </c:pt>
                <c:pt idx="41">
                  <c:v>-99.990252400930629</c:v>
                </c:pt>
                <c:pt idx="42">
                  <c:v>-99.999390765779097</c:v>
                </c:pt>
                <c:pt idx="43">
                  <c:v>-99.997563070539627</c:v>
                </c:pt>
                <c:pt idx="44">
                  <c:v>-100.99753870124486</c:v>
                </c:pt>
                <c:pt idx="45">
                  <c:v>-100.99938467343684</c:v>
                </c:pt>
                <c:pt idx="46">
                  <c:v>-100.9901549249399</c:v>
                </c:pt>
                <c:pt idx="47">
                  <c:v>-100.96985046789949</c:v>
                </c:pt>
                <c:pt idx="48">
                  <c:v>-100.93847352892867</c:v>
                </c:pt>
                <c:pt idx="49">
                  <c:v>-100.89602754886219</c:v>
                </c:pt>
                <c:pt idx="50">
                  <c:v>-100.84251718238008</c:v>
                </c:pt>
                <c:pt idx="51">
                  <c:v>-100.77794829749705</c:v>
                </c:pt>
                <c:pt idx="52">
                  <c:v>-100.70232797491894</c:v>
                </c:pt>
                <c:pt idx="53">
                  <c:v>-100.6156645072663</c:v>
                </c:pt>
                <c:pt idx="54">
                  <c:v>-100.51796739816496</c:v>
                </c:pt>
                <c:pt idx="55">
                  <c:v>-100.40924736120392</c:v>
                </c:pt>
                <c:pt idx="56">
                  <c:v>-100.28951631876021</c:v>
                </c:pt>
                <c:pt idx="57">
                  <c:v>-100.15878740069178</c:v>
                </c:pt>
                <c:pt idx="58">
                  <c:v>-100.0170749428986</c:v>
                </c:pt>
                <c:pt idx="59">
                  <c:v>-99.86439448574788</c:v>
                </c:pt>
                <c:pt idx="60">
                  <c:v>-99.700762772371789</c:v>
                </c:pt>
                <c:pt idx="61">
                  <c:v>-99.526197746832509</c:v>
                </c:pt>
                <c:pt idx="62">
                  <c:v>-99.340718552151614</c:v>
                </c:pt>
                <c:pt idx="63">
                  <c:v>-99.144345528214046</c:v>
                </c:pt>
                <c:pt idx="64">
                  <c:v>-98.937100209533767</c:v>
                </c:pt>
                <c:pt idx="65">
                  <c:v>-98.719005322895683</c:v>
                </c:pt>
                <c:pt idx="66">
                  <c:v>-98.490084784861892</c:v>
                </c:pt>
                <c:pt idx="67">
                  <c:v>-98.490084784861892</c:v>
                </c:pt>
                <c:pt idx="68">
                  <c:v>-98.719005322895683</c:v>
                </c:pt>
                <c:pt idx="69">
                  <c:v>-98.937100209533767</c:v>
                </c:pt>
                <c:pt idx="70">
                  <c:v>-99.144345528214046</c:v>
                </c:pt>
                <c:pt idx="71">
                  <c:v>-99.340718552151614</c:v>
                </c:pt>
                <c:pt idx="72">
                  <c:v>-99.526197746832509</c:v>
                </c:pt>
                <c:pt idx="73">
                  <c:v>-99.700762772371789</c:v>
                </c:pt>
                <c:pt idx="74">
                  <c:v>-99.86439448574788</c:v>
                </c:pt>
                <c:pt idx="75">
                  <c:v>-100.0170749428986</c:v>
                </c:pt>
                <c:pt idx="76">
                  <c:v>-100.15878740069178</c:v>
                </c:pt>
                <c:pt idx="77">
                  <c:v>-100.28951631876021</c:v>
                </c:pt>
                <c:pt idx="78">
                  <c:v>-100.40924736120392</c:v>
                </c:pt>
                <c:pt idx="79">
                  <c:v>-100.51796739816496</c:v>
                </c:pt>
                <c:pt idx="80">
                  <c:v>-100.6156645072663</c:v>
                </c:pt>
                <c:pt idx="81">
                  <c:v>-100.70232797491894</c:v>
                </c:pt>
                <c:pt idx="82">
                  <c:v>-100.77794829749705</c:v>
                </c:pt>
                <c:pt idx="83">
                  <c:v>-100.84251718238008</c:v>
                </c:pt>
                <c:pt idx="84">
                  <c:v>-100.89602754886219</c:v>
                </c:pt>
                <c:pt idx="85">
                  <c:v>-100.93847352892867</c:v>
                </c:pt>
                <c:pt idx="86">
                  <c:v>-100.96985046789949</c:v>
                </c:pt>
                <c:pt idx="87">
                  <c:v>-100.9901549249399</c:v>
                </c:pt>
                <c:pt idx="88">
                  <c:v>-100.99938467343684</c:v>
                </c:pt>
                <c:pt idx="89">
                  <c:v>-100.99753870124486</c:v>
                </c:pt>
                <c:pt idx="90">
                  <c:v>-101.99751433195044</c:v>
                </c:pt>
                <c:pt idx="91">
                  <c:v>-101.99937858109458</c:v>
                </c:pt>
                <c:pt idx="92">
                  <c:v>-101.99005744894922</c:v>
                </c:pt>
                <c:pt idx="93">
                  <c:v>-101.96955195768068</c:v>
                </c:pt>
                <c:pt idx="94">
                  <c:v>-101.93786435594807</c:v>
                </c:pt>
                <c:pt idx="95">
                  <c:v>-101.89499811865264</c:v>
                </c:pt>
                <c:pt idx="96">
                  <c:v>-101.84095794656207</c:v>
                </c:pt>
                <c:pt idx="97">
                  <c:v>-101.77574976578893</c:v>
                </c:pt>
                <c:pt idx="98">
                  <c:v>-101.69938072714585</c:v>
                </c:pt>
                <c:pt idx="99">
                  <c:v>-101.61185920535821</c:v>
                </c:pt>
                <c:pt idx="100">
                  <c:v>-101.51319479814696</c:v>
                </c:pt>
                <c:pt idx="101">
                  <c:v>-101.40339832517618</c:v>
                </c:pt>
                <c:pt idx="102">
                  <c:v>-101.28248182686643</c:v>
                </c:pt>
                <c:pt idx="103">
                  <c:v>-101.15045856307518</c:v>
                </c:pt>
                <c:pt idx="104">
                  <c:v>-101.00734301164017</c:v>
                </c:pt>
                <c:pt idx="105">
                  <c:v>-100.85315086679432</c:v>
                </c:pt>
                <c:pt idx="106">
                  <c:v>-100.68789903744455</c:v>
                </c:pt>
                <c:pt idx="107">
                  <c:v>-100.51160564531642</c:v>
                </c:pt>
                <c:pt idx="108">
                  <c:v>-100.32429002296537</c:v>
                </c:pt>
                <c:pt idx="109">
                  <c:v>-100.12597271166128</c:v>
                </c:pt>
                <c:pt idx="110">
                  <c:v>-99.916675459133316</c:v>
                </c:pt>
                <c:pt idx="111">
                  <c:v>-99.696421217181495</c:v>
                </c:pt>
                <c:pt idx="112">
                  <c:v>-99.465234139167436</c:v>
                </c:pt>
                <c:pt idx="113">
                  <c:v>-99.223139577358452</c:v>
                </c:pt>
                <c:pt idx="114">
                  <c:v>-98.970164080151662</c:v>
                </c:pt>
                <c:pt idx="115">
                  <c:v>-98.970164080151662</c:v>
                </c:pt>
                <c:pt idx="116">
                  <c:v>-99.223139577358452</c:v>
                </c:pt>
                <c:pt idx="117">
                  <c:v>-99.465234139167436</c:v>
                </c:pt>
                <c:pt idx="118">
                  <c:v>-99.696421217181495</c:v>
                </c:pt>
                <c:pt idx="119">
                  <c:v>-99.916675459133316</c:v>
                </c:pt>
                <c:pt idx="120">
                  <c:v>-100.12597271166128</c:v>
                </c:pt>
                <c:pt idx="121">
                  <c:v>-100.32429002296537</c:v>
                </c:pt>
                <c:pt idx="122">
                  <c:v>-100.51160564531642</c:v>
                </c:pt>
                <c:pt idx="123">
                  <c:v>-100.68789903744455</c:v>
                </c:pt>
                <c:pt idx="124">
                  <c:v>-100.85315086679432</c:v>
                </c:pt>
                <c:pt idx="125">
                  <c:v>-101.00734301164017</c:v>
                </c:pt>
                <c:pt idx="126">
                  <c:v>-101.15045856307518</c:v>
                </c:pt>
                <c:pt idx="127">
                  <c:v>-101.28248182686643</c:v>
                </c:pt>
                <c:pt idx="128">
                  <c:v>-101.40339832517618</c:v>
                </c:pt>
                <c:pt idx="129">
                  <c:v>-101.51319479814696</c:v>
                </c:pt>
                <c:pt idx="130">
                  <c:v>-101.61185920535821</c:v>
                </c:pt>
                <c:pt idx="131">
                  <c:v>-101.69938072714585</c:v>
                </c:pt>
                <c:pt idx="132">
                  <c:v>-101.77574976578893</c:v>
                </c:pt>
                <c:pt idx="133">
                  <c:v>-101.84095794656207</c:v>
                </c:pt>
                <c:pt idx="134">
                  <c:v>-101.89499811865264</c:v>
                </c:pt>
                <c:pt idx="135">
                  <c:v>-101.93786435594807</c:v>
                </c:pt>
                <c:pt idx="136">
                  <c:v>-101.96955195768068</c:v>
                </c:pt>
                <c:pt idx="137">
                  <c:v>-101.99005744894922</c:v>
                </c:pt>
                <c:pt idx="138">
                  <c:v>-101.99937858109458</c:v>
                </c:pt>
                <c:pt idx="139">
                  <c:v>-101.99751433195044</c:v>
                </c:pt>
                <c:pt idx="140">
                  <c:v>-102.99748996265566</c:v>
                </c:pt>
                <c:pt idx="141">
                  <c:v>-102.99937248875241</c:v>
                </c:pt>
                <c:pt idx="142">
                  <c:v>-102.98995997295833</c:v>
                </c:pt>
                <c:pt idx="143">
                  <c:v>-102.96925344746192</c:v>
                </c:pt>
                <c:pt idx="144">
                  <c:v>-102.93725518296689</c:v>
                </c:pt>
                <c:pt idx="145">
                  <c:v>-102.89396868844362</c:v>
                </c:pt>
                <c:pt idx="146">
                  <c:v>-102.83939871074377</c:v>
                </c:pt>
                <c:pt idx="147">
                  <c:v>-102.77355123408097</c:v>
                </c:pt>
                <c:pt idx="148">
                  <c:v>-102.69643347937296</c:v>
                </c:pt>
                <c:pt idx="149">
                  <c:v>-102.60805390344962</c:v>
                </c:pt>
                <c:pt idx="150">
                  <c:v>-102.50842219812844</c:v>
                </c:pt>
                <c:pt idx="151">
                  <c:v>-102.39754928914884</c:v>
                </c:pt>
                <c:pt idx="152">
                  <c:v>-102.27544733497305</c:v>
                </c:pt>
                <c:pt idx="153">
                  <c:v>-102.14212972545832</c:v>
                </c:pt>
                <c:pt idx="154">
                  <c:v>-101.99761108038192</c:v>
                </c:pt>
                <c:pt idx="155">
                  <c:v>-101.8419072478416</c:v>
                </c:pt>
                <c:pt idx="156">
                  <c:v>-101.67503530251743</c:v>
                </c:pt>
                <c:pt idx="157">
                  <c:v>-101.49701354379962</c:v>
                </c:pt>
                <c:pt idx="158">
                  <c:v>-101.30786149377876</c:v>
                </c:pt>
                <c:pt idx="159">
                  <c:v>-101.10759989510937</c:v>
                </c:pt>
                <c:pt idx="160">
                  <c:v>-100.89625070873242</c:v>
                </c:pt>
                <c:pt idx="161">
                  <c:v>-100.67383711146748</c:v>
                </c:pt>
                <c:pt idx="162">
                  <c:v>-100.44038349347302</c:v>
                </c:pt>
                <c:pt idx="163">
                  <c:v>-100.19591545556786</c:v>
                </c:pt>
                <c:pt idx="164">
                  <c:v>-99.940459806427654</c:v>
                </c:pt>
                <c:pt idx="165">
                  <c:v>-99.674044559643008</c:v>
                </c:pt>
                <c:pt idx="166">
                  <c:v>-99.3966989306481</c:v>
                </c:pt>
                <c:pt idx="167">
                  <c:v>-99.108453333516096</c:v>
                </c:pt>
                <c:pt idx="168">
                  <c:v>-98.809339377625633</c:v>
                </c:pt>
                <c:pt idx="169">
                  <c:v>-98.499389864192665</c:v>
                </c:pt>
                <c:pt idx="170">
                  <c:v>-98.178638782673218</c:v>
                </c:pt>
                <c:pt idx="171">
                  <c:v>-97.847121307039231</c:v>
                </c:pt>
                <c:pt idx="172">
                  <c:v>-97.847121307039231</c:v>
                </c:pt>
                <c:pt idx="173">
                  <c:v>-98.178638782673218</c:v>
                </c:pt>
                <c:pt idx="174">
                  <c:v>-98.499389864192665</c:v>
                </c:pt>
                <c:pt idx="175">
                  <c:v>-98.809339377625633</c:v>
                </c:pt>
                <c:pt idx="176">
                  <c:v>-99.108453333516096</c:v>
                </c:pt>
                <c:pt idx="177">
                  <c:v>-99.3966989306481</c:v>
                </c:pt>
                <c:pt idx="178">
                  <c:v>-99.674044559643008</c:v>
                </c:pt>
                <c:pt idx="179">
                  <c:v>-99.940459806427654</c:v>
                </c:pt>
                <c:pt idx="180">
                  <c:v>-100.19591545556786</c:v>
                </c:pt>
                <c:pt idx="181">
                  <c:v>-100.44038349347302</c:v>
                </c:pt>
                <c:pt idx="182">
                  <c:v>-100.67383711146748</c:v>
                </c:pt>
                <c:pt idx="183">
                  <c:v>-100.89625070873242</c:v>
                </c:pt>
                <c:pt idx="184">
                  <c:v>-101.10759989510937</c:v>
                </c:pt>
                <c:pt idx="185">
                  <c:v>-101.30786149377876</c:v>
                </c:pt>
                <c:pt idx="186">
                  <c:v>-101.49701354379962</c:v>
                </c:pt>
                <c:pt idx="187">
                  <c:v>-101.67503530251743</c:v>
                </c:pt>
                <c:pt idx="188">
                  <c:v>-101.8419072478416</c:v>
                </c:pt>
                <c:pt idx="189">
                  <c:v>-101.99761108038192</c:v>
                </c:pt>
                <c:pt idx="190">
                  <c:v>-102.14212972545832</c:v>
                </c:pt>
                <c:pt idx="191">
                  <c:v>-102.27544733497305</c:v>
                </c:pt>
                <c:pt idx="192">
                  <c:v>-102.39754928914884</c:v>
                </c:pt>
                <c:pt idx="193">
                  <c:v>-102.50842219812844</c:v>
                </c:pt>
                <c:pt idx="194">
                  <c:v>-102.60805390344962</c:v>
                </c:pt>
                <c:pt idx="195">
                  <c:v>-102.69643347937296</c:v>
                </c:pt>
                <c:pt idx="196">
                  <c:v>-102.77355123408097</c:v>
                </c:pt>
                <c:pt idx="197">
                  <c:v>-102.83939871074377</c:v>
                </c:pt>
                <c:pt idx="198">
                  <c:v>-102.89396868844362</c:v>
                </c:pt>
                <c:pt idx="199">
                  <c:v>-102.93725518296689</c:v>
                </c:pt>
                <c:pt idx="200">
                  <c:v>-102.96925344746192</c:v>
                </c:pt>
                <c:pt idx="201">
                  <c:v>-102.98995997295833</c:v>
                </c:pt>
                <c:pt idx="202">
                  <c:v>-102.99937248875241</c:v>
                </c:pt>
                <c:pt idx="203">
                  <c:v>-102.99748996265566</c:v>
                </c:pt>
              </c:numCache>
            </c:numRef>
          </c:yVal>
          <c:smooth val="0"/>
        </c:ser>
        <c:ser>
          <c:idx val="2"/>
          <c:order val="2"/>
          <c:tx>
            <c:v>label</c:v>
          </c:tx>
          <c:spPr>
            <a:ln w="66675">
              <a:noFill/>
            </a:ln>
          </c:spPr>
          <c:marker>
            <c:symbol val="none"/>
          </c:marker>
          <c:dLbls>
            <c:dLbl>
              <c:idx val="0"/>
              <c:tx>
                <c:strRef>
                  <c:f>Foglio1!$B$2</c:f>
                  <c:strCache>
                    <c:ptCount val="1"/>
                    <c:pt idx="0">
                      <c:v>0.386</c:v>
                    </c:pt>
                  </c:strCache>
                </c:strRef>
              </c:tx>
              <c:dLblPos val="t"/>
              <c:showLegendKey val="0"/>
              <c:showVal val="1"/>
              <c:showCatName val="0"/>
              <c:showSerName val="0"/>
              <c:showPercent val="0"/>
              <c:showBubbleSize val="0"/>
            </c:dLbl>
            <c:dLbl>
              <c:idx val="1"/>
              <c:layout>
                <c:manualLayout>
                  <c:x val="2.2845278917634305E-2"/>
                  <c:y val="-7.7519379844961525E-3"/>
                </c:manualLayout>
              </c:layout>
              <c:tx>
                <c:strRef>
                  <c:f>Foglio1!$B$3</c:f>
                  <c:strCache>
                    <c:ptCount val="1"/>
                    <c:pt idx="0">
                      <c:v>0.407</c:v>
                    </c:pt>
                  </c:strCache>
                </c:strRef>
              </c:tx>
              <c:dLblPos val="t"/>
              <c:showLegendKey val="0"/>
              <c:showVal val="1"/>
              <c:showCatName val="0"/>
              <c:showSerName val="0"/>
              <c:showPercent val="0"/>
              <c:showBubbleSize val="0"/>
            </c:dLbl>
            <c:dLbl>
              <c:idx val="2"/>
              <c:layout>
                <c:manualLayout>
                  <c:x val="1.24610612278005E-2"/>
                  <c:y val="3.8759689922480628E-3"/>
                </c:manualLayout>
              </c:layout>
              <c:tx>
                <c:strRef>
                  <c:f>Foglio1!$B$4</c:f>
                  <c:strCache>
                    <c:ptCount val="1"/>
                    <c:pt idx="0">
                      <c:v>0.444</c:v>
                    </c:pt>
                  </c:strCache>
                </c:strRef>
              </c:tx>
              <c:dLblPos val="t"/>
              <c:showLegendKey val="0"/>
              <c:showVal val="1"/>
              <c:showCatName val="0"/>
              <c:showSerName val="0"/>
              <c:showPercent val="0"/>
              <c:showBubbleSize val="0"/>
            </c:dLbl>
            <c:dLbl>
              <c:idx val="3"/>
              <c:layout>
                <c:manualLayout>
                  <c:x val="1.24610612278005E-2"/>
                  <c:y val="3.8759689922480628E-3"/>
                </c:manualLayout>
              </c:layout>
              <c:tx>
                <c:strRef>
                  <c:f>Foglio1!$B$5</c:f>
                  <c:strCache>
                    <c:ptCount val="1"/>
                    <c:pt idx="0">
                      <c:v>0.557</c:v>
                    </c:pt>
                  </c:strCache>
                </c:strRef>
              </c:tx>
              <c:dLblPos val="t"/>
              <c:showLegendKey val="0"/>
              <c:showVal val="1"/>
              <c:showCatName val="0"/>
              <c:showSerName val="0"/>
              <c:showPercent val="0"/>
              <c:showBubbleSize val="0"/>
            </c:dLbl>
            <c:dLbl>
              <c:idx val="4"/>
              <c:tx>
                <c:strRef>
                  <c:f>Foglio1!$B$6</c:f>
                  <c:strCache>
                    <c:ptCount val="1"/>
                  </c:strCache>
                </c:strRef>
              </c:tx>
              <c:dLblPos val="t"/>
              <c:showLegendKey val="0"/>
              <c:showVal val="1"/>
              <c:showCatName val="0"/>
              <c:showSerName val="0"/>
              <c:showPercent val="0"/>
              <c:showBubbleSize val="0"/>
            </c:dLbl>
            <c:dLbl>
              <c:idx val="5"/>
              <c:tx>
                <c:strRef>
                  <c:f>Foglio1!$B$7</c:f>
                  <c:strCache>
                    <c:ptCount val="1"/>
                  </c:strCache>
                </c:strRef>
              </c:tx>
              <c:dLblPos val="t"/>
              <c:showLegendKey val="0"/>
              <c:showVal val="1"/>
              <c:showCatName val="0"/>
              <c:showSerName val="0"/>
              <c:showPercent val="0"/>
              <c:showBubbleSize val="0"/>
            </c:dLbl>
            <c:dLbl>
              <c:idx val="6"/>
              <c:tx>
                <c:strRef>
                  <c:f>Foglio1!$B$8</c:f>
                  <c:strCache>
                    <c:ptCount val="1"/>
                  </c:strCache>
                </c:strRef>
              </c:tx>
              <c:dLblPos val="t"/>
              <c:showLegendKey val="0"/>
              <c:showVal val="1"/>
              <c:showCatName val="0"/>
              <c:showSerName val="0"/>
              <c:showPercent val="0"/>
              <c:showBubbleSize val="0"/>
            </c:dLbl>
            <c:dLbl>
              <c:idx val="7"/>
              <c:tx>
                <c:strRef>
                  <c:f>Foglio1!$B$9</c:f>
                  <c:strCache>
                    <c:ptCount val="1"/>
                  </c:strCache>
                </c:strRef>
              </c:tx>
              <c:dLblPos val="t"/>
              <c:showLegendKey val="0"/>
              <c:showVal val="1"/>
              <c:showCatName val="0"/>
              <c:showSerName val="0"/>
              <c:showPercent val="0"/>
              <c:showBubbleSize val="0"/>
            </c:dLbl>
            <c:dLbl>
              <c:idx val="8"/>
              <c:tx>
                <c:strRef>
                  <c:f>Foglio1!$B$10</c:f>
                  <c:strCache>
                    <c:ptCount val="1"/>
                  </c:strCache>
                </c:strRef>
              </c:tx>
              <c:dLblPos val="t"/>
              <c:showLegendKey val="0"/>
              <c:showVal val="1"/>
              <c:showCatName val="0"/>
              <c:showSerName val="0"/>
              <c:showPercent val="0"/>
              <c:showBubbleSize val="0"/>
            </c:dLbl>
            <c:dLbl>
              <c:idx val="9"/>
              <c:tx>
                <c:strRef>
                  <c:f>Foglio1!$B$11</c:f>
                  <c:strCache>
                    <c:ptCount val="1"/>
                  </c:strCache>
                </c:strRef>
              </c:tx>
              <c:dLblPos val="t"/>
              <c:showLegendKey val="0"/>
              <c:showVal val="1"/>
              <c:showCatName val="0"/>
              <c:showSerName val="0"/>
              <c:showPercent val="0"/>
              <c:showBubbleSize val="0"/>
            </c:dLbl>
            <c:dLbl>
              <c:idx val="10"/>
              <c:tx>
                <c:strRef>
                  <c:f>Foglio1!$B$12</c:f>
                  <c:strCache>
                    <c:ptCount val="1"/>
                  </c:strCache>
                </c:strRef>
              </c:tx>
              <c:dLblPos val="t"/>
              <c:showLegendKey val="0"/>
              <c:showVal val="1"/>
              <c:showCatName val="0"/>
              <c:showSerName val="0"/>
              <c:showPercent val="0"/>
              <c:showBubbleSize val="0"/>
            </c:dLbl>
            <c:txPr>
              <a:bodyPr rot="840000"/>
              <a:lstStyle/>
              <a:p>
                <a:pPr>
                  <a:defRPr sz="1200">
                    <a:solidFill>
                      <a:sysClr val="windowText" lastClr="000000"/>
                    </a:solidFill>
                    <a:latin typeface="Times New Roman" pitchFamily="18" charset="0"/>
                    <a:cs typeface="Times New Roman" pitchFamily="18" charset="0"/>
                  </a:defRPr>
                </a:pPr>
                <a:endParaRPr lang="en-US"/>
              </a:p>
            </c:txPr>
            <c:dLblPos val="t"/>
            <c:showLegendKey val="0"/>
            <c:showVal val="1"/>
            <c:showCatName val="0"/>
            <c:showSerName val="0"/>
            <c:showPercent val="0"/>
            <c:showBubbleSize val="0"/>
            <c:showLeaderLines val="0"/>
          </c:dLbls>
          <c:xVal>
            <c:numRef>
              <c:f>'Twisted rows.xlsx'!y_label</c:f>
              <c:numCache>
                <c:formatCode>General</c:formatCode>
                <c:ptCount val="4"/>
                <c:pt idx="0">
                  <c:v>21.132479645538826</c:v>
                </c:pt>
                <c:pt idx="1">
                  <c:v>22.376398259566212</c:v>
                </c:pt>
                <c:pt idx="2">
                  <c:v>24.67603335116608</c:v>
                </c:pt>
                <c:pt idx="3">
                  <c:v>32.170496606759912</c:v>
                </c:pt>
              </c:numCache>
            </c:numRef>
          </c:xVal>
          <c:yVal>
            <c:numRef>
              <c:f>'Twisted rows.xlsx'!x_label</c:f>
              <c:numCache>
                <c:formatCode>General</c:formatCode>
                <c:ptCount val="4"/>
                <c:pt idx="0">
                  <c:v>-97.741589428609757</c:v>
                </c:pt>
                <c:pt idx="1">
                  <c:v>-98.490084784861892</c:v>
                </c:pt>
                <c:pt idx="2">
                  <c:v>-98.970164080151662</c:v>
                </c:pt>
                <c:pt idx="3">
                  <c:v>-97.847121307039231</c:v>
                </c:pt>
              </c:numCache>
            </c:numRef>
          </c:yVal>
          <c:smooth val="1"/>
        </c:ser>
        <c:dLbls>
          <c:showLegendKey val="0"/>
          <c:showVal val="0"/>
          <c:showCatName val="0"/>
          <c:showSerName val="0"/>
          <c:showPercent val="0"/>
          <c:showBubbleSize val="0"/>
        </c:dLbls>
        <c:axId val="138113792"/>
        <c:axId val="138115328"/>
      </c:scatterChart>
      <c:valAx>
        <c:axId val="138113792"/>
        <c:scaling>
          <c:orientation val="minMax"/>
          <c:min val="0"/>
        </c:scaling>
        <c:delete val="1"/>
        <c:axPos val="b"/>
        <c:numFmt formatCode="#,##0;\-#,##0" sourceLinked="0"/>
        <c:majorTickMark val="none"/>
        <c:minorTickMark val="none"/>
        <c:tickLblPos val="high"/>
        <c:crossAx val="138115328"/>
        <c:crosses val="autoZero"/>
        <c:crossBetween val="midCat"/>
      </c:valAx>
      <c:valAx>
        <c:axId val="138115328"/>
        <c:scaling>
          <c:orientation val="minMax"/>
        </c:scaling>
        <c:delete val="1"/>
        <c:axPos val="l"/>
        <c:numFmt formatCode="General" sourceLinked="1"/>
        <c:majorTickMark val="out"/>
        <c:minorTickMark val="none"/>
        <c:tickLblPos val="nextTo"/>
        <c:crossAx val="138113792"/>
        <c:crosses val="autoZero"/>
        <c:crossBetween val="midCat"/>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1888</Words>
  <Characters>10767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Joydeep Baruah</dc:creator>
  <cp:lastModifiedBy>HP</cp:lastModifiedBy>
  <cp:revision>2</cp:revision>
  <dcterms:created xsi:type="dcterms:W3CDTF">2017-04-06T06:01:00Z</dcterms:created>
  <dcterms:modified xsi:type="dcterms:W3CDTF">2017-04-06T06:01:00Z</dcterms:modified>
</cp:coreProperties>
</file>